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DF0D4" w14:textId="319D8109" w:rsidR="00E90E49" w:rsidRPr="00CB7A06" w:rsidRDefault="00E90E49" w:rsidP="00E35559">
      <w:pPr>
        <w:pStyle w:val="3GPPHeader"/>
        <w:spacing w:after="60"/>
        <w:rPr>
          <w:sz w:val="32"/>
          <w:szCs w:val="32"/>
          <w:highlight w:val="yellow"/>
          <w:lang w:val="en-US"/>
        </w:rPr>
      </w:pPr>
      <w:r w:rsidRPr="00CB7A06">
        <w:rPr>
          <w:lang w:val="en-US"/>
        </w:rPr>
        <w:t>3GPP TSG-RAN WG</w:t>
      </w:r>
      <w:r w:rsidR="008F1C4E" w:rsidRPr="00CB7A06">
        <w:rPr>
          <w:lang w:val="en-US"/>
        </w:rPr>
        <w:t>1</w:t>
      </w:r>
      <w:r w:rsidRPr="00CB7A06">
        <w:rPr>
          <w:lang w:val="en-US"/>
        </w:rPr>
        <w:t xml:space="preserve"> </w:t>
      </w:r>
      <w:r w:rsidR="008F1C4E" w:rsidRPr="00CB7A06">
        <w:rPr>
          <w:lang w:val="en-US"/>
        </w:rPr>
        <w:t xml:space="preserve">Meeting </w:t>
      </w:r>
      <w:r w:rsidRPr="00CB7A06">
        <w:rPr>
          <w:lang w:val="en-US"/>
        </w:rPr>
        <w:t>#</w:t>
      </w:r>
      <w:r w:rsidR="008B2163" w:rsidRPr="00CB7A06">
        <w:rPr>
          <w:lang w:val="en-US"/>
        </w:rPr>
        <w:t>10</w:t>
      </w:r>
      <w:r w:rsidR="00ED2B29" w:rsidRPr="00CB7A06">
        <w:rPr>
          <w:lang w:val="en-US"/>
        </w:rPr>
        <w:t>2-e</w:t>
      </w:r>
      <w:r w:rsidRPr="00CB7A06">
        <w:rPr>
          <w:lang w:val="en-US"/>
        </w:rPr>
        <w:tab/>
      </w:r>
      <w:proofErr w:type="spellStart"/>
      <w:r w:rsidRPr="00CB7A06">
        <w:rPr>
          <w:sz w:val="32"/>
          <w:szCs w:val="32"/>
          <w:lang w:val="en-US"/>
        </w:rPr>
        <w:t>Tdoc</w:t>
      </w:r>
      <w:proofErr w:type="spellEnd"/>
      <w:r w:rsidRPr="00CB7A06">
        <w:rPr>
          <w:sz w:val="32"/>
          <w:szCs w:val="32"/>
          <w:lang w:val="en-US"/>
        </w:rPr>
        <w:t xml:space="preserve"> </w:t>
      </w:r>
      <w:r w:rsidR="00091557" w:rsidRPr="00CB7A06">
        <w:rPr>
          <w:sz w:val="32"/>
          <w:szCs w:val="32"/>
          <w:lang w:val="en-US"/>
        </w:rPr>
        <w:t>R</w:t>
      </w:r>
      <w:r w:rsidR="008F1C4E" w:rsidRPr="00CB7A06">
        <w:rPr>
          <w:sz w:val="32"/>
          <w:szCs w:val="32"/>
          <w:lang w:val="en-US"/>
        </w:rPr>
        <w:t>1</w:t>
      </w:r>
      <w:r w:rsidR="00091557" w:rsidRPr="00CB7A06">
        <w:rPr>
          <w:sz w:val="32"/>
          <w:szCs w:val="32"/>
          <w:lang w:val="en-US"/>
        </w:rPr>
        <w:t>-</w:t>
      </w:r>
      <w:r w:rsidR="008B2163" w:rsidRPr="00CB7A06">
        <w:rPr>
          <w:sz w:val="32"/>
          <w:szCs w:val="32"/>
          <w:lang w:val="en-US"/>
        </w:rPr>
        <w:t>20</w:t>
      </w:r>
      <w:r w:rsidR="003337F0" w:rsidRPr="00CB7A06">
        <w:rPr>
          <w:sz w:val="32"/>
          <w:szCs w:val="32"/>
          <w:lang w:val="en-US"/>
        </w:rPr>
        <w:t>05842</w:t>
      </w:r>
    </w:p>
    <w:p w14:paraId="5AACB60D" w14:textId="4D317556" w:rsidR="00E90E49" w:rsidRPr="00CB7A06" w:rsidRDefault="00ED2B29" w:rsidP="00311702">
      <w:pPr>
        <w:pStyle w:val="3GPPHeader"/>
        <w:rPr>
          <w:lang w:val="en-US"/>
        </w:rPr>
      </w:pPr>
      <w:r w:rsidRPr="00CB7A06">
        <w:rPr>
          <w:lang w:val="en-US"/>
        </w:rPr>
        <w:t>e-Meeting</w:t>
      </w:r>
      <w:r w:rsidR="008B2163" w:rsidRPr="00CB7A06">
        <w:rPr>
          <w:lang w:val="en-US"/>
        </w:rPr>
        <w:t xml:space="preserve">, </w:t>
      </w:r>
      <w:r w:rsidRPr="00CB7A06">
        <w:rPr>
          <w:lang w:val="en-US"/>
        </w:rPr>
        <w:t>August 17</w:t>
      </w:r>
      <w:r w:rsidRPr="00CB7A06">
        <w:rPr>
          <w:vertAlign w:val="superscript"/>
          <w:lang w:val="en-US"/>
        </w:rPr>
        <w:t>th</w:t>
      </w:r>
      <w:r w:rsidRPr="00CB7A06">
        <w:rPr>
          <w:lang w:val="en-US"/>
        </w:rPr>
        <w:t xml:space="preserve"> </w:t>
      </w:r>
      <w:r w:rsidR="008B2163" w:rsidRPr="00CB7A06">
        <w:rPr>
          <w:lang w:val="en-US"/>
        </w:rPr>
        <w:t>– 28</w:t>
      </w:r>
      <w:r w:rsidR="008B2163" w:rsidRPr="00CB7A06">
        <w:rPr>
          <w:vertAlign w:val="superscript"/>
          <w:lang w:val="en-US"/>
        </w:rPr>
        <w:t>th</w:t>
      </w:r>
      <w:r w:rsidR="008B2163" w:rsidRPr="00CB7A06">
        <w:rPr>
          <w:lang w:val="en-US"/>
        </w:rPr>
        <w:t>, 2020</w:t>
      </w:r>
    </w:p>
    <w:p w14:paraId="2ED1040A" w14:textId="77777777" w:rsidR="00E90E49" w:rsidRPr="00CB7A06" w:rsidRDefault="00E90E49" w:rsidP="00357380">
      <w:pPr>
        <w:pStyle w:val="3GPPHeader"/>
        <w:rPr>
          <w:lang w:val="en-US"/>
        </w:rPr>
      </w:pPr>
    </w:p>
    <w:p w14:paraId="2394BC04" w14:textId="24616E71" w:rsidR="00E90E49" w:rsidRPr="00240E36" w:rsidRDefault="00E90E49" w:rsidP="00311702">
      <w:pPr>
        <w:pStyle w:val="3GPPHeader"/>
        <w:rPr>
          <w:sz w:val="22"/>
        </w:rPr>
      </w:pPr>
      <w:r w:rsidRPr="00240E36">
        <w:rPr>
          <w:sz w:val="22"/>
        </w:rPr>
        <w:t>Agenda Item:</w:t>
      </w:r>
      <w:r w:rsidRPr="00240E36">
        <w:rPr>
          <w:sz w:val="22"/>
        </w:rPr>
        <w:tab/>
      </w:r>
      <w:r w:rsidR="00A35DB5" w:rsidRPr="00240E36">
        <w:rPr>
          <w:sz w:val="22"/>
        </w:rPr>
        <w:t>8.1.1</w:t>
      </w:r>
    </w:p>
    <w:p w14:paraId="1BFDAAC4" w14:textId="77777777" w:rsidR="00E90E49" w:rsidRPr="00240E36" w:rsidRDefault="003D3C45" w:rsidP="00F64C2B">
      <w:pPr>
        <w:pStyle w:val="3GPPHeader"/>
        <w:rPr>
          <w:sz w:val="22"/>
        </w:rPr>
      </w:pPr>
      <w:r w:rsidRPr="00240E36">
        <w:rPr>
          <w:sz w:val="22"/>
        </w:rPr>
        <w:t>Source:</w:t>
      </w:r>
      <w:r w:rsidR="00E90E49" w:rsidRPr="00240E36">
        <w:rPr>
          <w:sz w:val="22"/>
        </w:rPr>
        <w:tab/>
      </w:r>
      <w:r w:rsidR="00F64C2B" w:rsidRPr="00240E36">
        <w:rPr>
          <w:sz w:val="22"/>
        </w:rPr>
        <w:t>Ericsson</w:t>
      </w:r>
    </w:p>
    <w:p w14:paraId="6D8CD55A" w14:textId="14438FB0" w:rsidR="00E90E49" w:rsidRPr="00240E36" w:rsidRDefault="003D3C45" w:rsidP="00311702">
      <w:pPr>
        <w:pStyle w:val="3GPPHeader"/>
        <w:rPr>
          <w:sz w:val="22"/>
        </w:rPr>
      </w:pPr>
      <w:r w:rsidRPr="00240E36">
        <w:rPr>
          <w:sz w:val="22"/>
        </w:rPr>
        <w:t>Title:</w:t>
      </w:r>
      <w:r w:rsidR="00E90E49" w:rsidRPr="00240E36">
        <w:rPr>
          <w:sz w:val="22"/>
        </w:rPr>
        <w:tab/>
      </w:r>
      <w:r w:rsidR="00A35DB5" w:rsidRPr="00240E36">
        <w:rPr>
          <w:sz w:val="22"/>
        </w:rPr>
        <w:t>Enhancements to multi-beam operation</w:t>
      </w:r>
    </w:p>
    <w:p w14:paraId="4EE1C7B8" w14:textId="77F8EFAA" w:rsidR="00E90E49" w:rsidRPr="00CB7A06" w:rsidRDefault="00E90E49" w:rsidP="00D546FF">
      <w:pPr>
        <w:pStyle w:val="3GPPHeader"/>
        <w:rPr>
          <w:sz w:val="22"/>
          <w:lang w:val="en-US"/>
        </w:rPr>
      </w:pPr>
      <w:r w:rsidRPr="00CB7A06">
        <w:rPr>
          <w:sz w:val="22"/>
          <w:lang w:val="en-US"/>
        </w:rPr>
        <w:t>Document for:</w:t>
      </w:r>
      <w:r w:rsidRPr="00CB7A06">
        <w:rPr>
          <w:sz w:val="22"/>
          <w:lang w:val="en-US"/>
        </w:rPr>
        <w:tab/>
      </w:r>
      <w:r w:rsidR="00A35DB5" w:rsidRPr="00CB7A06">
        <w:rPr>
          <w:sz w:val="22"/>
          <w:lang w:val="en-US"/>
        </w:rPr>
        <w:t>Discussion</w:t>
      </w:r>
    </w:p>
    <w:p w14:paraId="46B7B895" w14:textId="77777777" w:rsidR="00E90E49" w:rsidRPr="00CB7A06" w:rsidRDefault="00E90E49" w:rsidP="00E90E49">
      <w:pPr>
        <w:rPr>
          <w:lang w:val="en-US"/>
        </w:rPr>
      </w:pPr>
    </w:p>
    <w:p w14:paraId="113104B3" w14:textId="77777777" w:rsidR="00E90E49" w:rsidRPr="00CE0424" w:rsidRDefault="00230D18" w:rsidP="00CE0424">
      <w:pPr>
        <w:pStyle w:val="Heading1"/>
      </w:pPr>
      <w:r>
        <w:t>1</w:t>
      </w:r>
      <w:r>
        <w:tab/>
      </w:r>
      <w:r w:rsidR="00E90E49" w:rsidRPr="00CE0424">
        <w:t>Introduction</w:t>
      </w:r>
    </w:p>
    <w:p w14:paraId="208DEEF7" w14:textId="3315EA06" w:rsidR="00477768" w:rsidRPr="00240E36" w:rsidRDefault="00CE356F" w:rsidP="00CE0424">
      <w:pPr>
        <w:pStyle w:val="BodyText"/>
      </w:pPr>
      <w:r w:rsidRPr="00CB7A06">
        <w:rPr>
          <w:lang w:val="en-US"/>
        </w:rPr>
        <w:t>In </w:t>
      </w:r>
      <w:r>
        <w:fldChar w:fldCharType="begin"/>
      </w:r>
      <w:r w:rsidRPr="00CB7A06">
        <w:rPr>
          <w:lang w:val="en-US"/>
        </w:rPr>
        <w:instrText xml:space="preserve"> REF _Ref31185007 \r \h </w:instrText>
      </w:r>
      <w:r>
        <w:fldChar w:fldCharType="separate"/>
      </w:r>
      <w:r w:rsidR="00FD563B" w:rsidRPr="00CB7A06">
        <w:rPr>
          <w:lang w:val="en-US"/>
        </w:rPr>
        <w:t>[1]</w:t>
      </w:r>
      <w:r>
        <w:fldChar w:fldCharType="end"/>
      </w:r>
      <w:r w:rsidRPr="00CB7A06">
        <w:rPr>
          <w:lang w:val="en-US"/>
        </w:rPr>
        <w:t>, a work item for fu</w:t>
      </w:r>
      <w:bookmarkStart w:id="0" w:name="_GoBack"/>
      <w:bookmarkEnd w:id="0"/>
      <w:r w:rsidRPr="00CB7A06">
        <w:rPr>
          <w:lang w:val="en-US"/>
        </w:rPr>
        <w:t xml:space="preserve">rther enhancements to NR MIMO was agreed. </w:t>
      </w:r>
      <w:r w:rsidRPr="00240E36">
        <w:t xml:space="preserve">One objective of the work item concerns </w:t>
      </w:r>
      <w:r w:rsidR="00431FD8" w:rsidRPr="00240E36">
        <w:t>enhancements to multi-beam operation:</w:t>
      </w:r>
    </w:p>
    <w:p w14:paraId="521C7E1F" w14:textId="03ED4000" w:rsidR="00431FD8" w:rsidRDefault="00431FD8" w:rsidP="00CE0424">
      <w:pPr>
        <w:pStyle w:val="BodyText"/>
      </w:pPr>
      <w:r>
        <w:rPr>
          <w:noProof/>
        </w:rPr>
        <mc:AlternateContent>
          <mc:Choice Requires="wps">
            <w:drawing>
              <wp:inline distT="0" distB="0" distL="0" distR="0" wp14:anchorId="366A4BF5" wp14:editId="1C3B5D03">
                <wp:extent cx="6146359" cy="771276"/>
                <wp:effectExtent l="0" t="0" r="26035" b="24765"/>
                <wp:docPr id="1" name="Text Box 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ED646FF" w14:textId="77777777" w:rsidR="005B05A1" w:rsidRPr="00431FD8" w:rsidRDefault="005B05A1" w:rsidP="00431FD8">
                            <w:pPr>
                              <w:pStyle w:val="ListParagraph"/>
                              <w:numPr>
                                <w:ilvl w:val="0"/>
                                <w:numId w:val="23"/>
                              </w:numPr>
                              <w:ind w:left="720"/>
                              <w:jc w:val="both"/>
                              <w:rPr>
                                <w:rFonts w:ascii="Times New Roman" w:hAnsi="Times New Roman"/>
                              </w:rPr>
                            </w:pPr>
                            <w:r w:rsidRPr="00431FD8">
                              <w:rPr>
                                <w:rFonts w:ascii="Times New Roman" w:hAnsi="Times New Roman"/>
                              </w:rPr>
                              <w:t xml:space="preserve">Enhancement on multi-beam operation, mainly targeting FR2 while also applicable to FR1: </w:t>
                            </w:r>
                          </w:p>
                          <w:p w14:paraId="7D6EB372" w14:textId="77777777" w:rsidR="005B05A1" w:rsidRPr="00431FD8" w:rsidRDefault="005B05A1" w:rsidP="00431FD8">
                            <w:pPr>
                              <w:pStyle w:val="ListParagraph"/>
                              <w:numPr>
                                <w:ilvl w:val="1"/>
                                <w:numId w:val="23"/>
                              </w:numPr>
                              <w:ind w:left="1440"/>
                              <w:jc w:val="both"/>
                              <w:rPr>
                                <w:rFonts w:ascii="Times New Roman" w:hAnsi="Times New Roman"/>
                              </w:rPr>
                            </w:pPr>
                            <w:r w:rsidRPr="00431FD8">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1AE724B6" w14:textId="77777777" w:rsidR="005B05A1" w:rsidRPr="00431FD8" w:rsidRDefault="005B05A1" w:rsidP="00431FD8">
                            <w:pPr>
                              <w:pStyle w:val="ListParagraph"/>
                              <w:numPr>
                                <w:ilvl w:val="2"/>
                                <w:numId w:val="23"/>
                              </w:numPr>
                              <w:ind w:left="2160"/>
                              <w:jc w:val="both"/>
                              <w:rPr>
                                <w:rFonts w:ascii="Times New Roman" w:hAnsi="Times New Roman"/>
                              </w:rPr>
                            </w:pPr>
                            <w:r w:rsidRPr="00431FD8">
                              <w:rPr>
                                <w:rFonts w:ascii="Times New Roman" w:hAnsi="Times New Roman"/>
                              </w:rPr>
                              <w:t>Common beam for data and control transmission/reception for DL and UL, especially for intra-band CA</w:t>
                            </w:r>
                          </w:p>
                          <w:p w14:paraId="30781D2E" w14:textId="77777777" w:rsidR="005B05A1" w:rsidRPr="00431FD8" w:rsidRDefault="005B05A1" w:rsidP="00431FD8">
                            <w:pPr>
                              <w:pStyle w:val="ListParagraph"/>
                              <w:numPr>
                                <w:ilvl w:val="2"/>
                                <w:numId w:val="23"/>
                              </w:numPr>
                              <w:ind w:left="2160"/>
                              <w:jc w:val="both"/>
                              <w:rPr>
                                <w:rFonts w:ascii="Times New Roman" w:hAnsi="Times New Roman"/>
                              </w:rPr>
                            </w:pPr>
                            <w:r w:rsidRPr="00431FD8">
                              <w:rPr>
                                <w:rFonts w:ascii="Times New Roman" w:hAnsi="Times New Roman"/>
                              </w:rPr>
                              <w:t>Unified TCI framework for DL and UL beam indication</w:t>
                            </w:r>
                          </w:p>
                          <w:p w14:paraId="0B0436FF" w14:textId="77777777" w:rsidR="005B05A1" w:rsidRPr="00431FD8" w:rsidRDefault="005B05A1" w:rsidP="00431FD8">
                            <w:pPr>
                              <w:pStyle w:val="ListParagraph"/>
                              <w:numPr>
                                <w:ilvl w:val="2"/>
                                <w:numId w:val="23"/>
                              </w:numPr>
                              <w:ind w:left="2160"/>
                              <w:jc w:val="both"/>
                              <w:rPr>
                                <w:rFonts w:ascii="Times New Roman" w:hAnsi="Times New Roman"/>
                              </w:rPr>
                            </w:pPr>
                            <w:r w:rsidRPr="00431FD8">
                              <w:rPr>
                                <w:rFonts w:ascii="Times New Roman" w:hAnsi="Times New Roman"/>
                              </w:rPr>
                              <w:t>Enhancement on signaling mechanisms for the above features to improve latency and efficiency with more usage of dynamic control signaling (as opposed to RRC)</w:t>
                            </w:r>
                          </w:p>
                          <w:p w14:paraId="3666148E" w14:textId="0A7DB873" w:rsidR="005B05A1" w:rsidRPr="00431FD8" w:rsidRDefault="005B05A1" w:rsidP="00431FD8">
                            <w:pPr>
                              <w:pStyle w:val="ListParagraph"/>
                              <w:numPr>
                                <w:ilvl w:val="1"/>
                                <w:numId w:val="23"/>
                              </w:numPr>
                              <w:ind w:left="1440"/>
                              <w:jc w:val="both"/>
                              <w:rPr>
                                <w:rFonts w:ascii="Times New Roman" w:hAnsi="Times New Roman"/>
                              </w:rPr>
                            </w:pPr>
                            <w:r w:rsidRPr="00431FD8">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66A4BF5" id="_x0000_t202" coordsize="21600,21600" o:spt="202" path="m,l,21600r21600,l21600,xe">
                <v:stroke joinstyle="miter"/>
                <v:path gradientshapeok="t" o:connecttype="rect"/>
              </v:shapetype>
              <v:shape id="Text Box 1"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" fillcolor="white [3201]" strokeweight=".5pt">
                <v:textbox style="mso-fit-shape-to-text:t">
                  <w:txbxContent>
                    <w:p w14:paraId="7ED646FF" w14:textId="77777777" w:rsidR="005B05A1" w:rsidRPr="00431FD8" w:rsidRDefault="005B05A1" w:rsidP="00431FD8">
                      <w:pPr>
                        <w:pStyle w:val="ListParagraph"/>
                        <w:numPr>
                          <w:ilvl w:val="0"/>
                          <w:numId w:val="23"/>
                        </w:numPr>
                        <w:ind w:left="720"/>
                        <w:jc w:val="both"/>
                        <w:rPr>
                          <w:rFonts w:ascii="Times New Roman" w:hAnsi="Times New Roman"/>
                        </w:rPr>
                      </w:pPr>
                      <w:r w:rsidRPr="00431FD8">
                        <w:rPr>
                          <w:rFonts w:ascii="Times New Roman" w:hAnsi="Times New Roman"/>
                        </w:rPr>
                        <w:t xml:space="preserve">Enhancement on multi-beam operation, mainly targeting FR2 while also applicable to FR1: </w:t>
                      </w:r>
                    </w:p>
                    <w:p w14:paraId="7D6EB372" w14:textId="77777777" w:rsidR="005B05A1" w:rsidRPr="00431FD8" w:rsidRDefault="005B05A1" w:rsidP="00431FD8">
                      <w:pPr>
                        <w:pStyle w:val="ListParagraph"/>
                        <w:numPr>
                          <w:ilvl w:val="1"/>
                          <w:numId w:val="23"/>
                        </w:numPr>
                        <w:ind w:left="1440"/>
                        <w:jc w:val="both"/>
                        <w:rPr>
                          <w:rFonts w:ascii="Times New Roman" w:hAnsi="Times New Roman"/>
                        </w:rPr>
                      </w:pPr>
                      <w:r w:rsidRPr="00431FD8">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1AE724B6" w14:textId="77777777" w:rsidR="005B05A1" w:rsidRPr="00431FD8" w:rsidRDefault="005B05A1" w:rsidP="00431FD8">
                      <w:pPr>
                        <w:pStyle w:val="ListParagraph"/>
                        <w:numPr>
                          <w:ilvl w:val="2"/>
                          <w:numId w:val="23"/>
                        </w:numPr>
                        <w:ind w:left="2160"/>
                        <w:jc w:val="both"/>
                        <w:rPr>
                          <w:rFonts w:ascii="Times New Roman" w:hAnsi="Times New Roman"/>
                        </w:rPr>
                      </w:pPr>
                      <w:r w:rsidRPr="00431FD8">
                        <w:rPr>
                          <w:rFonts w:ascii="Times New Roman" w:hAnsi="Times New Roman"/>
                        </w:rPr>
                        <w:t>Common beam for data and control transmission/reception for DL and UL, especially for intra-band CA</w:t>
                      </w:r>
                    </w:p>
                    <w:p w14:paraId="30781D2E" w14:textId="77777777" w:rsidR="005B05A1" w:rsidRPr="00431FD8" w:rsidRDefault="005B05A1" w:rsidP="00431FD8">
                      <w:pPr>
                        <w:pStyle w:val="ListParagraph"/>
                        <w:numPr>
                          <w:ilvl w:val="2"/>
                          <w:numId w:val="23"/>
                        </w:numPr>
                        <w:ind w:left="2160"/>
                        <w:jc w:val="both"/>
                        <w:rPr>
                          <w:rFonts w:ascii="Times New Roman" w:hAnsi="Times New Roman"/>
                        </w:rPr>
                      </w:pPr>
                      <w:r w:rsidRPr="00431FD8">
                        <w:rPr>
                          <w:rFonts w:ascii="Times New Roman" w:hAnsi="Times New Roman"/>
                        </w:rPr>
                        <w:t>Unified TCI framework for DL and UL beam indication</w:t>
                      </w:r>
                    </w:p>
                    <w:p w14:paraId="0B0436FF" w14:textId="77777777" w:rsidR="005B05A1" w:rsidRPr="00431FD8" w:rsidRDefault="005B05A1" w:rsidP="00431FD8">
                      <w:pPr>
                        <w:pStyle w:val="ListParagraph"/>
                        <w:numPr>
                          <w:ilvl w:val="2"/>
                          <w:numId w:val="23"/>
                        </w:numPr>
                        <w:ind w:left="2160"/>
                        <w:jc w:val="both"/>
                        <w:rPr>
                          <w:rFonts w:ascii="Times New Roman" w:hAnsi="Times New Roman"/>
                        </w:rPr>
                      </w:pPr>
                      <w:r w:rsidRPr="00431FD8">
                        <w:rPr>
                          <w:rFonts w:ascii="Times New Roman" w:hAnsi="Times New Roman"/>
                        </w:rPr>
                        <w:t>Enhancement on signaling mechanisms for the above features to improve latency and efficiency with more usage of dynamic control signaling (as opposed to RRC)</w:t>
                      </w:r>
                    </w:p>
                    <w:p w14:paraId="3666148E" w14:textId="0A7DB873" w:rsidR="005B05A1" w:rsidRPr="00431FD8" w:rsidRDefault="005B05A1" w:rsidP="00431FD8">
                      <w:pPr>
                        <w:pStyle w:val="ListParagraph"/>
                        <w:numPr>
                          <w:ilvl w:val="1"/>
                          <w:numId w:val="23"/>
                        </w:numPr>
                        <w:ind w:left="1440"/>
                        <w:jc w:val="both"/>
                        <w:rPr>
                          <w:rFonts w:ascii="Times New Roman" w:hAnsi="Times New Roman"/>
                        </w:rPr>
                      </w:pPr>
                      <w:r w:rsidRPr="00431FD8">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3FBCFE91" w14:textId="3E0E4A2C" w:rsidR="00C72534" w:rsidRPr="00240E36" w:rsidRDefault="00C72534" w:rsidP="00CE0424">
      <w:pPr>
        <w:pStyle w:val="BodyText"/>
      </w:pPr>
      <w:r w:rsidRPr="00240E36">
        <w:t>In this contribution, we explain how to fulfil this objective.</w:t>
      </w:r>
      <w:r w:rsidR="00E95D43" w:rsidRPr="00240E36">
        <w:t xml:space="preserve"> Additionally, one of the objectives is related to inter-cell </w:t>
      </w:r>
      <w:proofErr w:type="spellStart"/>
      <w:r w:rsidR="00E95D43" w:rsidRPr="00240E36">
        <w:t>mTRP</w:t>
      </w:r>
      <w:proofErr w:type="spellEnd"/>
      <w:r w:rsidR="00E95D43" w:rsidRPr="00240E36">
        <w:t>:</w:t>
      </w:r>
    </w:p>
    <w:p w14:paraId="45406069" w14:textId="0AF87F5F" w:rsidR="00E95D43" w:rsidRPr="00CE0424" w:rsidRDefault="00E95D43" w:rsidP="00CE0424">
      <w:pPr>
        <w:pStyle w:val="BodyText"/>
      </w:pPr>
      <w:r>
        <w:rPr>
          <w:noProof/>
        </w:rPr>
        <mc:AlternateContent>
          <mc:Choice Requires="wps">
            <w:drawing>
              <wp:inline distT="0" distB="0" distL="0" distR="0" wp14:anchorId="7A3B1635" wp14:editId="717387A6">
                <wp:extent cx="6120765" cy="2017279"/>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2017279"/>
                        </a:xfrm>
                        <a:prstGeom prst="rect">
                          <a:avLst/>
                        </a:prstGeom>
                        <a:solidFill>
                          <a:schemeClr val="lt1"/>
                        </a:solidFill>
                        <a:ln w="6350">
                          <a:solidFill>
                            <a:prstClr val="black"/>
                          </a:solidFill>
                        </a:ln>
                      </wps:spPr>
                      <wps:txbx>
                        <w:txbxContent>
                          <w:p w14:paraId="02903E30" w14:textId="77777777" w:rsidR="005B05A1" w:rsidRPr="00E95D43" w:rsidRDefault="005B05A1" w:rsidP="00E95D43">
                            <w:pPr>
                              <w:pStyle w:val="ListParagraph"/>
                              <w:numPr>
                                <w:ilvl w:val="0"/>
                                <w:numId w:val="23"/>
                              </w:numPr>
                              <w:ind w:left="720"/>
                              <w:jc w:val="both"/>
                              <w:rPr>
                                <w:rFonts w:ascii="Times New Roman" w:hAnsi="Times New Roman"/>
                              </w:rPr>
                            </w:pPr>
                            <w:r w:rsidRPr="00E95D43">
                              <w:rPr>
                                <w:rFonts w:ascii="Times New Roman" w:hAnsi="Times New Roman"/>
                              </w:rPr>
                              <w:t xml:space="preserve">Enhancement </w:t>
                            </w:r>
                            <w:r w:rsidRPr="00E95D43">
                              <w:rPr>
                                <w:rFonts w:ascii="Times New Roman" w:hAnsi="Times New Roman"/>
                              </w:rPr>
                              <w:t>on the support for multi-TRP deployment, targeting both FR1 and FR2:</w:t>
                            </w:r>
                          </w:p>
                          <w:p w14:paraId="72AE66CA" w14:textId="77777777" w:rsidR="005B05A1" w:rsidRPr="00E95D43" w:rsidRDefault="005B05A1" w:rsidP="00E95D43">
                            <w:pPr>
                              <w:pStyle w:val="ListParagraph"/>
                              <w:numPr>
                                <w:ilvl w:val="1"/>
                                <w:numId w:val="23"/>
                              </w:numPr>
                              <w:ind w:left="1440"/>
                              <w:jc w:val="both"/>
                              <w:rPr>
                                <w:rFonts w:ascii="Times New Roman" w:hAnsi="Times New Roman"/>
                              </w:rPr>
                            </w:pPr>
                            <w:r w:rsidRPr="00E95D43">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31552F01" w14:textId="59ABEC06" w:rsidR="005B05A1" w:rsidRDefault="005B05A1" w:rsidP="00E95D43">
                            <w:pPr>
                              <w:pStyle w:val="ListParagraph"/>
                              <w:numPr>
                                <w:ilvl w:val="1"/>
                                <w:numId w:val="23"/>
                              </w:numPr>
                              <w:ind w:left="1440"/>
                              <w:jc w:val="both"/>
                              <w:rPr>
                                <w:rFonts w:ascii="Times New Roman" w:hAnsi="Times New Roman"/>
                              </w:rPr>
                            </w:pPr>
                            <w:r w:rsidRPr="00E95D43">
                              <w:rPr>
                                <w:rFonts w:ascii="Times New Roman" w:hAnsi="Times New Roman"/>
                              </w:rPr>
                              <w:t>Identify and specify QCL/TCI-related enhancements to enable inter-cell multi-TRP operations, assuming multi-DCI based multi-PDSCH reception</w:t>
                            </w:r>
                          </w:p>
                          <w:p w14:paraId="338A8B61" w14:textId="3EEBAE41" w:rsidR="005B05A1" w:rsidRPr="00E95D43" w:rsidRDefault="005B05A1" w:rsidP="00E95D43">
                            <w:pPr>
                              <w:pStyle w:val="ListParagraph"/>
                              <w:numPr>
                                <w:ilvl w:val="1"/>
                                <w:numId w:val="23"/>
                              </w:numPr>
                              <w:ind w:left="1440"/>
                              <w:jc w:val="both"/>
                              <w:rPr>
                                <w:rFonts w:ascii="Times New Roman" w:hAnsi="Times New Roman"/>
                              </w:rPr>
                            </w:pPr>
                            <w:r>
                              <w:rPr>
                                <w:rFonts w:ascii="Times New Roman" w:hAnsi="Times New Roman"/>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3B1635" id="Text Box 2" o:spid="_x0000_s1027" type="#_x0000_t202" style="width:481.95pt;height:15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" fillcolor="white [3201]" strokeweight=".5pt">
                <v:textbox style="mso-fit-shape-to-text:t">
                  <w:txbxContent>
                    <w:p w14:paraId="02903E30" w14:textId="77777777" w:rsidR="005B05A1" w:rsidRPr="00E95D43" w:rsidRDefault="005B05A1" w:rsidP="00E95D43">
                      <w:pPr>
                        <w:pStyle w:val="ListParagraph"/>
                        <w:numPr>
                          <w:ilvl w:val="0"/>
                          <w:numId w:val="23"/>
                        </w:numPr>
                        <w:ind w:left="720"/>
                        <w:jc w:val="both"/>
                        <w:rPr>
                          <w:rFonts w:ascii="Times New Roman" w:hAnsi="Times New Roman"/>
                        </w:rPr>
                      </w:pPr>
                      <w:r w:rsidRPr="00E95D43">
                        <w:rPr>
                          <w:rFonts w:ascii="Times New Roman" w:hAnsi="Times New Roman"/>
                        </w:rPr>
                        <w:t xml:space="preserve">Enhancement </w:t>
                      </w:r>
                      <w:r w:rsidRPr="00E95D43">
                        <w:rPr>
                          <w:rFonts w:ascii="Times New Roman" w:hAnsi="Times New Roman"/>
                        </w:rPr>
                        <w:t>on the support for multi-TRP deployment, targeting both FR1 and FR2:</w:t>
                      </w:r>
                    </w:p>
                    <w:p w14:paraId="72AE66CA" w14:textId="77777777" w:rsidR="005B05A1" w:rsidRPr="00E95D43" w:rsidRDefault="005B05A1" w:rsidP="00E95D43">
                      <w:pPr>
                        <w:pStyle w:val="ListParagraph"/>
                        <w:numPr>
                          <w:ilvl w:val="1"/>
                          <w:numId w:val="23"/>
                        </w:numPr>
                        <w:ind w:left="1440"/>
                        <w:jc w:val="both"/>
                        <w:rPr>
                          <w:rFonts w:ascii="Times New Roman" w:hAnsi="Times New Roman"/>
                        </w:rPr>
                      </w:pPr>
                      <w:r w:rsidRPr="00E95D43">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p>
                    <w:p w14:paraId="31552F01" w14:textId="59ABEC06" w:rsidR="005B05A1" w:rsidRDefault="005B05A1" w:rsidP="00E95D43">
                      <w:pPr>
                        <w:pStyle w:val="ListParagraph"/>
                        <w:numPr>
                          <w:ilvl w:val="1"/>
                          <w:numId w:val="23"/>
                        </w:numPr>
                        <w:ind w:left="1440"/>
                        <w:jc w:val="both"/>
                        <w:rPr>
                          <w:rFonts w:ascii="Times New Roman" w:hAnsi="Times New Roman"/>
                        </w:rPr>
                      </w:pPr>
                      <w:r w:rsidRPr="00E95D43">
                        <w:rPr>
                          <w:rFonts w:ascii="Times New Roman" w:hAnsi="Times New Roman"/>
                        </w:rPr>
                        <w:t>Identify and specify QCL/TCI-related enhancements to enable inter-cell multi-TRP operations, assuming multi-DCI based multi-PDSCH reception</w:t>
                      </w:r>
                    </w:p>
                    <w:p w14:paraId="338A8B61" w14:textId="3EEBAE41" w:rsidR="005B05A1" w:rsidRPr="00E95D43" w:rsidRDefault="005B05A1" w:rsidP="00E95D43">
                      <w:pPr>
                        <w:pStyle w:val="ListParagraph"/>
                        <w:numPr>
                          <w:ilvl w:val="1"/>
                          <w:numId w:val="23"/>
                        </w:numPr>
                        <w:ind w:left="1440"/>
                        <w:jc w:val="both"/>
                        <w:rPr>
                          <w:rFonts w:ascii="Times New Roman" w:hAnsi="Times New Roman"/>
                        </w:rPr>
                      </w:pPr>
                      <w:r>
                        <w:rPr>
                          <w:rFonts w:ascii="Times New Roman" w:hAnsi="Times New Roman"/>
                          <w:lang w:val="sv-SE"/>
                        </w:rPr>
                        <w:t>....</w:t>
                      </w:r>
                    </w:p>
                  </w:txbxContent>
                </v:textbox>
                <w10:anchorlock/>
              </v:shape>
            </w:pict>
          </mc:Fallback>
        </mc:AlternateContent>
      </w:r>
    </w:p>
    <w:p w14:paraId="00154C75" w14:textId="3926F091" w:rsidR="004000E8" w:rsidRDefault="00230D18" w:rsidP="00CE0424">
      <w:pPr>
        <w:pStyle w:val="Heading1"/>
      </w:pPr>
      <w:bookmarkStart w:id="1" w:name="_Ref178064866"/>
      <w:r>
        <w:t>2</w:t>
      </w:r>
      <w:r>
        <w:tab/>
      </w:r>
      <w:r w:rsidR="004000E8" w:rsidRPr="00CE0424">
        <w:t>Discussion</w:t>
      </w:r>
      <w:bookmarkEnd w:id="1"/>
    </w:p>
    <w:p w14:paraId="27F19791" w14:textId="5CAFC81B" w:rsidR="00EA50F8" w:rsidRPr="00240E36" w:rsidRDefault="00C72534" w:rsidP="00C72534">
      <w:pPr>
        <w:pStyle w:val="BodyText"/>
        <w:rPr>
          <w:lang w:eastAsia="ja-JP"/>
        </w:rPr>
      </w:pPr>
      <w:r w:rsidRPr="00240E36">
        <w:rPr>
          <w:lang w:eastAsia="ja-JP"/>
        </w:rPr>
        <w:t>Beam management was introduced in NR to facilitate operation in FR2.</w:t>
      </w:r>
      <w:r w:rsidR="00EA50F8" w:rsidRPr="00240E36">
        <w:rPr>
          <w:lang w:eastAsia="ja-JP"/>
        </w:rPr>
        <w:t xml:space="preserve"> </w:t>
      </w:r>
      <w:r w:rsidRPr="00240E36">
        <w:rPr>
          <w:lang w:eastAsia="ja-JP"/>
        </w:rPr>
        <w:t xml:space="preserve">In FR2, UEs will typically be equipped with directional panel antennas, and analog beamforming is performed on the received signal. </w:t>
      </w:r>
      <w:r w:rsidR="00EA50F8" w:rsidRPr="00240E36">
        <w:rPr>
          <w:lang w:eastAsia="ja-JP"/>
        </w:rPr>
        <w:t>O</w:t>
      </w:r>
      <w:r w:rsidRPr="00240E36">
        <w:rPr>
          <w:lang w:eastAsia="ja-JP"/>
        </w:rPr>
        <w:t>nce delivered to baseband, signal</w:t>
      </w:r>
      <w:r w:rsidR="00EA50F8" w:rsidRPr="00240E36">
        <w:rPr>
          <w:lang w:eastAsia="ja-JP"/>
        </w:rPr>
        <w:t>s arriving at the UE from directions other than the main beam direction will be attenuated, and it is typically not possible for the UE to recover such a signal.</w:t>
      </w:r>
      <w:r w:rsidRPr="00240E36">
        <w:rPr>
          <w:lang w:eastAsia="ja-JP"/>
        </w:rPr>
        <w:t xml:space="preserve"> </w:t>
      </w:r>
      <w:r w:rsidR="00EA50F8" w:rsidRPr="00240E36">
        <w:rPr>
          <w:lang w:eastAsia="ja-JP"/>
        </w:rPr>
        <w:lastRenderedPageBreak/>
        <w:t xml:space="preserve">Hence, it is critical to make it possible for the UE to adjust its analog beamformer before receiving any data or control signal. The same is true, at least to some extent, for the gNB: the gNB should know from which direction the signal will arrive. To achieve this, it is necessary to control in which direction the UE transmits its signal(s). </w:t>
      </w:r>
    </w:p>
    <w:p w14:paraId="5E9C8F12" w14:textId="5A005804" w:rsidR="00E0035B" w:rsidRPr="00240E36" w:rsidRDefault="00D4065A" w:rsidP="00C72534">
      <w:pPr>
        <w:pStyle w:val="BodyText"/>
        <w:rPr>
          <w:lang w:eastAsia="ja-JP"/>
        </w:rPr>
      </w:pPr>
      <w:r w:rsidRPr="00240E36">
        <w:rPr>
          <w:lang w:eastAsia="ja-JP"/>
        </w:rPr>
        <w:t>K</w:t>
      </w:r>
      <w:r w:rsidR="00E0035B" w:rsidRPr="00240E36">
        <w:rPr>
          <w:lang w:eastAsia="ja-JP"/>
        </w:rPr>
        <w:t>ey components of the multi-beam objective are:</w:t>
      </w:r>
    </w:p>
    <w:p w14:paraId="1C3D1923" w14:textId="60C01571" w:rsidR="00E0035B" w:rsidRPr="00240E36" w:rsidRDefault="00E0035B" w:rsidP="00E0035B">
      <w:pPr>
        <w:pStyle w:val="BodyText"/>
        <w:numPr>
          <w:ilvl w:val="0"/>
          <w:numId w:val="31"/>
        </w:numPr>
        <w:rPr>
          <w:lang w:eastAsia="ja-JP"/>
        </w:rPr>
      </w:pPr>
      <w:r w:rsidRPr="00240E36">
        <w:rPr>
          <w:lang w:eastAsia="ja-JP"/>
        </w:rPr>
        <w:t>More efficient</w:t>
      </w:r>
      <w:r w:rsidR="00D4065A" w:rsidRPr="00240E36">
        <w:rPr>
          <w:lang w:eastAsia="ja-JP"/>
        </w:rPr>
        <w:t xml:space="preserve"> UL/DL beam management with </w:t>
      </w:r>
      <w:proofErr w:type="gramStart"/>
      <w:r w:rsidR="00D4065A" w:rsidRPr="00240E36">
        <w:rPr>
          <w:lang w:eastAsia="ja-JP"/>
        </w:rPr>
        <w:t>a large number of</w:t>
      </w:r>
      <w:proofErr w:type="gramEnd"/>
      <w:r w:rsidR="00D4065A" w:rsidRPr="00240E36">
        <w:rPr>
          <w:lang w:eastAsia="ja-JP"/>
        </w:rPr>
        <w:t xml:space="preserve"> configured TCI states</w:t>
      </w:r>
    </w:p>
    <w:p w14:paraId="44036CAA" w14:textId="0F95240D" w:rsidR="00D4065A" w:rsidRPr="00240E36" w:rsidRDefault="00D4065A" w:rsidP="00E0035B">
      <w:pPr>
        <w:pStyle w:val="BodyText"/>
        <w:numPr>
          <w:ilvl w:val="0"/>
          <w:numId w:val="31"/>
        </w:numPr>
        <w:rPr>
          <w:lang w:eastAsia="ja-JP"/>
        </w:rPr>
      </w:pPr>
      <w:r w:rsidRPr="00240E36">
        <w:rPr>
          <w:lang w:eastAsia="ja-JP"/>
        </w:rPr>
        <w:t>L1/L2 centric inter-cell mobility</w:t>
      </w:r>
    </w:p>
    <w:p w14:paraId="6794CC7B" w14:textId="3B88B2AA" w:rsidR="00D4065A" w:rsidRPr="00240E36" w:rsidRDefault="00D4065A" w:rsidP="00E0035B">
      <w:pPr>
        <w:pStyle w:val="BodyText"/>
        <w:numPr>
          <w:ilvl w:val="0"/>
          <w:numId w:val="31"/>
        </w:numPr>
        <w:rPr>
          <w:lang w:eastAsia="ja-JP"/>
        </w:rPr>
      </w:pPr>
      <w:r w:rsidRPr="00240E36">
        <w:rPr>
          <w:lang w:eastAsia="ja-JP"/>
        </w:rPr>
        <w:t>A unified TCI framework and optimized common beam operation</w:t>
      </w:r>
    </w:p>
    <w:p w14:paraId="4F672E22" w14:textId="395FCE41" w:rsidR="00E0035B" w:rsidRPr="00240E36" w:rsidRDefault="00D4065A" w:rsidP="00C72534">
      <w:pPr>
        <w:pStyle w:val="BodyText"/>
        <w:rPr>
          <w:lang w:eastAsia="ja-JP"/>
        </w:rPr>
      </w:pPr>
      <w:r w:rsidRPr="00240E36">
        <w:rPr>
          <w:lang w:eastAsia="ja-JP"/>
        </w:rPr>
        <w:t xml:space="preserve">We will discuss </w:t>
      </w:r>
      <w:r w:rsidR="00943F8E" w:rsidRPr="00240E36">
        <w:rPr>
          <w:lang w:eastAsia="ja-JP"/>
        </w:rPr>
        <w:t xml:space="preserve">improvements in these three areas in the coming subsections. </w:t>
      </w:r>
    </w:p>
    <w:p w14:paraId="2B7877F2" w14:textId="478B0F48" w:rsidR="00943F8E" w:rsidRPr="00240E36" w:rsidRDefault="00943F8E" w:rsidP="00C72534">
      <w:pPr>
        <w:pStyle w:val="BodyText"/>
        <w:rPr>
          <w:lang w:eastAsia="ja-JP"/>
        </w:rPr>
      </w:pPr>
      <w:r w:rsidRPr="00240E36">
        <w:rPr>
          <w:lang w:eastAsia="ja-JP"/>
        </w:rPr>
        <w:t xml:space="preserve">At the end, we will also address the upcoming evaluations on </w:t>
      </w:r>
      <w:proofErr w:type="spellStart"/>
      <w:r w:rsidRPr="00240E36">
        <w:rPr>
          <w:lang w:eastAsia="ja-JP"/>
        </w:rPr>
        <w:t>feMIMO</w:t>
      </w:r>
      <w:proofErr w:type="spellEnd"/>
      <w:r w:rsidRPr="00240E36">
        <w:rPr>
          <w:lang w:eastAsia="ja-JP"/>
        </w:rPr>
        <w:t xml:space="preserve"> improvements.</w:t>
      </w:r>
    </w:p>
    <w:p w14:paraId="63B8DADF" w14:textId="16F93C16" w:rsidR="00943F8E" w:rsidRDefault="00943F8E" w:rsidP="00A123D9">
      <w:pPr>
        <w:pStyle w:val="Heading2"/>
      </w:pPr>
      <w:r>
        <w:t>2.1</w:t>
      </w:r>
      <w:r>
        <w:tab/>
        <w:t>More efficient: lower latency and overhead</w:t>
      </w:r>
    </w:p>
    <w:p w14:paraId="45B1981E" w14:textId="77777777" w:rsidR="00943F8E" w:rsidRPr="00240E36" w:rsidRDefault="00943F8E" w:rsidP="00943F8E">
      <w:pPr>
        <w:pStyle w:val="BodyText"/>
      </w:pPr>
      <w:r w:rsidRPr="00240E36">
        <w:t>The beam management procedures will need to cope with higher UE speeds, e.g., for high speed trains. Also, when the gNB antennas are equipped with more antenna elements, the beam will become narrower. These two factors will lead to the procedures to update the gNB and UE beams will have to execute faster, as the beams need to be updated faster.</w:t>
      </w:r>
    </w:p>
    <w:p w14:paraId="4925A172" w14:textId="77777777" w:rsidR="00943F8E" w:rsidRPr="00240E36" w:rsidRDefault="00943F8E" w:rsidP="00943F8E">
      <w:pPr>
        <w:pStyle w:val="BodyText"/>
      </w:pPr>
      <w:r w:rsidRPr="00240E36">
        <w:t>As beam correspondence is a mandatory capability, improvements on efficiency should target beam management based on DL RSs. UL beam management is a performance optimization, which makes it possible for the UE to fine tune its Tx beam.</w:t>
      </w:r>
    </w:p>
    <w:p w14:paraId="43AF777E" w14:textId="77777777" w:rsidR="00943F8E" w:rsidRPr="00240E36" w:rsidRDefault="00943F8E" w:rsidP="00943F8E">
      <w:pPr>
        <w:pStyle w:val="BodyText"/>
      </w:pPr>
      <w:r w:rsidRPr="00240E36">
        <w:t xml:space="preserve">Updating the Tx beam on the gNB has two parts: collecting measurements and signaling updated QCL assumptions to the UE. </w:t>
      </w:r>
    </w:p>
    <w:p w14:paraId="69771F48" w14:textId="4C0E29D8" w:rsidR="00943F8E" w:rsidRPr="00240E36" w:rsidRDefault="00943F8E" w:rsidP="00943F8E">
      <w:pPr>
        <w:pStyle w:val="BodyText"/>
      </w:pPr>
      <w:r w:rsidRPr="00240E36">
        <w:t xml:space="preserve">To select the Tx beam, the gNB collects measurements from periodic or aperiodic reference signals. Once the gNB has selected a new Tx beam, it may also need to update the TCI state for the PDCCH and PDSCH reception. The main signaling mechanism for this is MAC CE. The new TCI state is applied after a certain delay. This delay is described differently in RAN1 and RAN4 specifications. In the RAN1 specifications, the new TCI state is applied 3ms after the PDSCH that contains the MAC CE is acknowledged, but in the RAN4 specifications, there is an additional delay which depends on the period of the reference signal in the new TCI state. </w:t>
      </w:r>
    </w:p>
    <w:p w14:paraId="19F8081E" w14:textId="77777777" w:rsidR="00943F8E" w:rsidRPr="00240E36" w:rsidRDefault="00943F8E" w:rsidP="00943F8E">
      <w:pPr>
        <w:pStyle w:val="Observation"/>
        <w:overflowPunct w:val="0"/>
        <w:autoSpaceDE w:val="0"/>
        <w:autoSpaceDN w:val="0"/>
        <w:adjustRightInd w:val="0"/>
        <w:spacing w:line="240" w:lineRule="auto"/>
        <w:textAlignment w:val="baseline"/>
      </w:pPr>
      <w:bookmarkStart w:id="2" w:name="_Toc40478786"/>
      <w:bookmarkStart w:id="3" w:name="_Toc47708493"/>
      <w:r w:rsidRPr="00240E36">
        <w:t>The description of the activation delay for a new TCI state is different in RAN1 and RAN4 specifications.</w:t>
      </w:r>
      <w:bookmarkEnd w:id="2"/>
      <w:bookmarkEnd w:id="3"/>
    </w:p>
    <w:p w14:paraId="5B5C1D25" w14:textId="77777777" w:rsidR="00943F8E" w:rsidRPr="00240E36" w:rsidRDefault="00943F8E" w:rsidP="00943F8E">
      <w:pPr>
        <w:pStyle w:val="BodyText"/>
      </w:pPr>
      <w:r w:rsidRPr="00240E36">
        <w:t xml:space="preserve">Taking the RAN4 description as an example and using realistic assumptions for the delays of the various processes, we end up with a total delay of some 14ms to change the gNB Tx beam. The time distribution among the components are illustrated in </w:t>
      </w:r>
      <w:r>
        <w:fldChar w:fldCharType="begin"/>
      </w:r>
      <w:r w:rsidRPr="00240E36">
        <w:instrText xml:space="preserve"> REF _Ref40345383 \h </w:instrText>
      </w:r>
      <w:r>
        <w:fldChar w:fldCharType="separate"/>
      </w:r>
      <w:r w:rsidRPr="00240E36">
        <w:t>Figure 1</w:t>
      </w:r>
      <w:r>
        <w:fldChar w:fldCharType="end"/>
      </w:r>
      <w:r w:rsidRPr="00240E36">
        <w:t>.</w:t>
      </w:r>
    </w:p>
    <w:p w14:paraId="77D701C2" w14:textId="77777777" w:rsidR="00943F8E" w:rsidRPr="00CE0424" w:rsidRDefault="00943F8E" w:rsidP="00943F8E">
      <w:pPr>
        <w:pStyle w:val="TH"/>
      </w:pPr>
      <w:r>
        <w:rPr>
          <w:noProof/>
        </w:rPr>
        <w:lastRenderedPageBreak/>
        <w:drawing>
          <wp:inline distT="0" distB="0" distL="0" distR="0" wp14:anchorId="35935F33" wp14:editId="71B801BD">
            <wp:extent cx="4584701" cy="2755900"/>
            <wp:effectExtent l="0" t="0" r="6350" b="6350"/>
            <wp:docPr id="6675831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4584701" cy="2755900"/>
                    </a:xfrm>
                    <a:prstGeom prst="rect">
                      <a:avLst/>
                    </a:prstGeom>
                  </pic:spPr>
                </pic:pic>
              </a:graphicData>
            </a:graphic>
          </wp:inline>
        </w:drawing>
      </w:r>
    </w:p>
    <w:p w14:paraId="0E6B7035" w14:textId="6927E870" w:rsidR="00943F8E" w:rsidRPr="006B3937" w:rsidRDefault="00943F8E" w:rsidP="00943F8E">
      <w:pPr>
        <w:pStyle w:val="TF"/>
        <w:rPr>
          <w:lang w:val="en-US"/>
        </w:rPr>
      </w:pPr>
      <w:bookmarkStart w:id="4" w:name="_Ref40345383"/>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4"/>
      <w:r w:rsidRPr="00CE0424">
        <w:t xml:space="preserve">: </w:t>
      </w:r>
      <w:r>
        <w:rPr>
          <w:lang w:val="en-US"/>
        </w:rPr>
        <w:t>Time d</w:t>
      </w:r>
      <w:r w:rsidRPr="006B3937">
        <w:rPr>
          <w:lang w:val="en-US"/>
        </w:rPr>
        <w:t>istribution among the c</w:t>
      </w:r>
      <w:r>
        <w:rPr>
          <w:lang w:val="en-US"/>
        </w:rPr>
        <w:t>omponents of beam switch.</w:t>
      </w:r>
    </w:p>
    <w:p w14:paraId="4ABC5721" w14:textId="3B0D09C6" w:rsidR="00943F8E" w:rsidRPr="00240E36" w:rsidRDefault="00943F8E" w:rsidP="00943F8E">
      <w:pPr>
        <w:pStyle w:val="BodyText"/>
      </w:pPr>
      <w:r w:rsidRPr="00240E36">
        <w:t xml:space="preserve">Based on the estimates shown in </w:t>
      </w:r>
      <w:r>
        <w:fldChar w:fldCharType="begin"/>
      </w:r>
      <w:r w:rsidRPr="00240E36">
        <w:instrText xml:space="preserve"> REF _Ref40345383 \h </w:instrText>
      </w:r>
      <w:r>
        <w:fldChar w:fldCharType="separate"/>
      </w:r>
      <w:r w:rsidRPr="00240E36">
        <w:t>Figure 1</w:t>
      </w:r>
      <w:r>
        <w:fldChar w:fldCharType="end"/>
      </w:r>
      <w:r w:rsidRPr="00240E36">
        <w:t>, we conclude that to speed up the Tx beam switch, the focus should be on reducing the activation time, and speeding up the signaling:</w:t>
      </w:r>
    </w:p>
    <w:p w14:paraId="36675778" w14:textId="4FE55FE8" w:rsidR="00943F8E" w:rsidRPr="00240E36" w:rsidRDefault="003161A0" w:rsidP="00943F8E">
      <w:pPr>
        <w:pStyle w:val="Proposal"/>
        <w:overflowPunct w:val="0"/>
        <w:autoSpaceDE w:val="0"/>
        <w:autoSpaceDN w:val="0"/>
        <w:adjustRightInd w:val="0"/>
        <w:spacing w:line="240" w:lineRule="auto"/>
        <w:textAlignment w:val="baseline"/>
      </w:pPr>
      <w:bookmarkStart w:id="5" w:name="_Toc40478796"/>
      <w:bookmarkStart w:id="6" w:name="_Toc47708505"/>
      <w:r w:rsidRPr="00240E36">
        <w:t>F</w:t>
      </w:r>
      <w:r w:rsidR="00943F8E" w:rsidRPr="00240E36">
        <w:t>ocus on reducing the activation delay and speeding up the signaling.</w:t>
      </w:r>
      <w:bookmarkEnd w:id="5"/>
      <w:bookmarkEnd w:id="6"/>
      <w:r w:rsidR="00943F8E" w:rsidRPr="00240E36">
        <w:t xml:space="preserve"> </w:t>
      </w:r>
    </w:p>
    <w:p w14:paraId="48FB52B6" w14:textId="0A89DBE1" w:rsidR="001F3BA7" w:rsidRPr="00240E36" w:rsidRDefault="001F3BA7" w:rsidP="001F3BA7">
      <w:pPr>
        <w:pStyle w:val="BodyText"/>
      </w:pPr>
      <w:proofErr w:type="gramStart"/>
      <w:r w:rsidRPr="00240E36">
        <w:t>It would seem that the</w:t>
      </w:r>
      <w:proofErr w:type="gramEnd"/>
      <w:r w:rsidRPr="00240E36">
        <w:t xml:space="preserve"> activation delay resides in the RAN4 domain. This implies that RAN4 should be involved in the discussion early in the process, to ensure that we see an actual improvement in the beam switching delay.</w:t>
      </w:r>
    </w:p>
    <w:p w14:paraId="2AB8319E" w14:textId="232E1672" w:rsidR="00503CA6" w:rsidRPr="00240E36" w:rsidRDefault="0027007D" w:rsidP="001F3BA7">
      <w:pPr>
        <w:pStyle w:val="BodyText"/>
      </w:pPr>
      <w:r w:rsidRPr="00240E36">
        <w:t xml:space="preserve">In RAN1, it would seem appropriate to investigate what signaling improvements would be relevant. As previously noted, </w:t>
      </w:r>
      <w:r w:rsidR="001F3BA7" w:rsidRPr="00240E36">
        <w:t>the gNB collects measurements from periodic or aperiodic reference signals</w:t>
      </w:r>
      <w:r w:rsidR="00503CA6" w:rsidRPr="00240E36">
        <w:t>, potentially followed by a TCI state update. The gNB never updates a TCI state without any measurement. It would thus seem attractive to have a way to integrate the measurement and a TCI state update:</w:t>
      </w:r>
    </w:p>
    <w:p w14:paraId="2A70FAE8" w14:textId="4790575B" w:rsidR="002F25A0" w:rsidRPr="00240E36" w:rsidRDefault="00503CA6" w:rsidP="002F25A0">
      <w:pPr>
        <w:pStyle w:val="Observation"/>
      </w:pPr>
      <w:bookmarkStart w:id="7" w:name="_Toc47708494"/>
      <w:r w:rsidRPr="00240E36">
        <w:t xml:space="preserve">Since the gNB never updates a TCI state without any measurement, it is attractive to </w:t>
      </w:r>
      <w:r w:rsidR="00BE090D">
        <w:t>include</w:t>
      </w:r>
      <w:r w:rsidR="00BE090D" w:rsidRPr="00240E36">
        <w:t xml:space="preserve"> </w:t>
      </w:r>
      <w:r w:rsidRPr="00240E36">
        <w:t xml:space="preserve">the TCI state </w:t>
      </w:r>
      <w:r w:rsidR="00552E18" w:rsidRPr="00240E36">
        <w:t>update</w:t>
      </w:r>
      <w:r w:rsidR="00240E36">
        <w:t xml:space="preserve"> as</w:t>
      </w:r>
      <w:r w:rsidR="00552E18" w:rsidRPr="00240E36">
        <w:t xml:space="preserve"> </w:t>
      </w:r>
      <w:r w:rsidRPr="00240E36">
        <w:t>part of the measurement procedure.</w:t>
      </w:r>
      <w:bookmarkEnd w:id="7"/>
    </w:p>
    <w:p w14:paraId="2C587449" w14:textId="4D21255D" w:rsidR="00552E18" w:rsidRPr="00240E36" w:rsidRDefault="00552E18" w:rsidP="001F3BA7">
      <w:pPr>
        <w:pStyle w:val="BodyText"/>
      </w:pPr>
      <w:r w:rsidRPr="00240E36">
        <w:t xml:space="preserve">Measurements on aperiodic CSI-RS provides a way to provide the UE with </w:t>
      </w:r>
      <w:r w:rsidR="00151291" w:rsidRPr="00240E36">
        <w:t xml:space="preserve">QCL sources in the </w:t>
      </w:r>
      <w:r w:rsidRPr="00240E36">
        <w:t>TCI state, in the aperiodic trigger state:</w:t>
      </w:r>
    </w:p>
    <w:p w14:paraId="1356754E" w14:textId="77777777" w:rsidR="00B54BC4" w:rsidRPr="00B54BC4" w:rsidRDefault="00B54BC4" w:rsidP="00B54BC4">
      <w:pPr>
        <w:pStyle w:val="PL"/>
      </w:pPr>
      <w:r w:rsidRPr="00B54BC4">
        <w:t>CSI-AssociatedReportConfigInfo ::=  SEQUENCE {</w:t>
      </w:r>
    </w:p>
    <w:p w14:paraId="76DEDE71" w14:textId="77777777" w:rsidR="00B54BC4" w:rsidRPr="00B54BC4" w:rsidRDefault="00B54BC4" w:rsidP="00B54BC4">
      <w:pPr>
        <w:pStyle w:val="PL"/>
      </w:pPr>
      <w:r w:rsidRPr="00B54BC4">
        <w:t xml:space="preserve">    reportConfigId                      CSI-ReportConfigId,</w:t>
      </w:r>
    </w:p>
    <w:p w14:paraId="5F087C3A" w14:textId="77777777" w:rsidR="00B54BC4" w:rsidRPr="00B54BC4" w:rsidRDefault="00B54BC4" w:rsidP="00B54BC4">
      <w:pPr>
        <w:pStyle w:val="PL"/>
      </w:pPr>
      <w:r w:rsidRPr="00B54BC4">
        <w:t xml:space="preserve">    resourcesForChannel                 CHOICE {</w:t>
      </w:r>
    </w:p>
    <w:p w14:paraId="63929B8E" w14:textId="77777777" w:rsidR="00B54BC4" w:rsidRPr="00B54BC4" w:rsidRDefault="00B54BC4" w:rsidP="00B54BC4">
      <w:pPr>
        <w:pStyle w:val="PL"/>
      </w:pPr>
      <w:r w:rsidRPr="00B54BC4">
        <w:t xml:space="preserve">        nzp-CSI-RS                          SEQUENCE {</w:t>
      </w:r>
    </w:p>
    <w:p w14:paraId="0A66724D" w14:textId="77777777" w:rsidR="00B54BC4" w:rsidRPr="00B54BC4" w:rsidRDefault="00B54BC4" w:rsidP="00B54BC4">
      <w:pPr>
        <w:pStyle w:val="PL"/>
      </w:pPr>
      <w:r w:rsidRPr="00B54BC4">
        <w:t xml:space="preserve">            resourceSet                         INTEGER (1..maxNrofNZP-CSI-RS-ResourceSetsPerConfig),</w:t>
      </w:r>
    </w:p>
    <w:p w14:paraId="173BB40A" w14:textId="77777777" w:rsidR="00B54BC4" w:rsidRPr="00B54BC4" w:rsidRDefault="00B54BC4" w:rsidP="00B54BC4">
      <w:pPr>
        <w:pStyle w:val="PL"/>
      </w:pPr>
      <w:r w:rsidRPr="00B54BC4">
        <w:t xml:space="preserve">            qcl-info                            SEQUENCE (SIZE(1..maxNrofAP-CSI-RS-ResourcesPerSet)) OF TCI-StateId</w:t>
      </w:r>
    </w:p>
    <w:p w14:paraId="6876A2B8" w14:textId="3272F106" w:rsidR="00B54BC4" w:rsidRPr="00B54BC4" w:rsidRDefault="00B54BC4" w:rsidP="00B54BC4">
      <w:pPr>
        <w:pStyle w:val="PL"/>
      </w:pPr>
      <w:r w:rsidRPr="00B54BC4">
        <w:t xml:space="preserve">                                                                                        </w:t>
      </w:r>
    </w:p>
    <w:p w14:paraId="2A4D6ACD" w14:textId="77777777" w:rsidR="00B54BC4" w:rsidRPr="00B54BC4" w:rsidRDefault="00B54BC4" w:rsidP="00B54BC4">
      <w:pPr>
        <w:pStyle w:val="PL"/>
      </w:pPr>
      <w:r w:rsidRPr="00B54BC4">
        <w:t xml:space="preserve">        },</w:t>
      </w:r>
    </w:p>
    <w:p w14:paraId="7706FAE8" w14:textId="77777777" w:rsidR="00B54BC4" w:rsidRPr="00B54BC4" w:rsidRDefault="00B54BC4" w:rsidP="00B54BC4">
      <w:pPr>
        <w:pStyle w:val="PL"/>
      </w:pPr>
      <w:r w:rsidRPr="00B54BC4">
        <w:t xml:space="preserve">        csi-SSB-ResourceSet                 INTEGER (1..maxNrofCSI-SSB-ResourceSetsPerConfig)</w:t>
      </w:r>
    </w:p>
    <w:p w14:paraId="61D49E93" w14:textId="77777777" w:rsidR="00B54BC4" w:rsidRPr="00B54BC4" w:rsidRDefault="00B54BC4" w:rsidP="00B54BC4">
      <w:pPr>
        <w:pStyle w:val="PL"/>
      </w:pPr>
      <w:r w:rsidRPr="00B54BC4">
        <w:t xml:space="preserve">    },</w:t>
      </w:r>
    </w:p>
    <w:p w14:paraId="34D456D4" w14:textId="77777777" w:rsidR="00B54BC4" w:rsidRPr="00B54BC4" w:rsidRDefault="00B54BC4" w:rsidP="00B54BC4">
      <w:pPr>
        <w:pStyle w:val="PL"/>
      </w:pPr>
      <w:r w:rsidRPr="00B54BC4">
        <w:t xml:space="preserve">    csi-IM-ResourcesForInterference     INTEGER(1..maxNrofCSI-IM-ResourceSetsPerConfig)</w:t>
      </w:r>
    </w:p>
    <w:p w14:paraId="5113CC4B" w14:textId="07730A74" w:rsidR="00B54BC4" w:rsidRPr="00B54BC4" w:rsidRDefault="00B54BC4" w:rsidP="00B54BC4">
      <w:pPr>
        <w:pStyle w:val="PL"/>
      </w:pPr>
      <w:r w:rsidRPr="00B54BC4">
        <w:t xml:space="preserve">                                                                                        </w:t>
      </w:r>
    </w:p>
    <w:p w14:paraId="7F914BCF" w14:textId="77777777" w:rsidR="00B54BC4" w:rsidRPr="00B54BC4" w:rsidRDefault="00B54BC4" w:rsidP="00B54BC4">
      <w:pPr>
        <w:pStyle w:val="PL"/>
      </w:pPr>
      <w:r w:rsidRPr="00B54BC4">
        <w:t xml:space="preserve">    nzp-CSI-RS-ResourcesForInterference INTEGER (1..maxNrofNZP-CSI-RS-ResourceSetsPerConfig)</w:t>
      </w:r>
    </w:p>
    <w:p w14:paraId="041639FE" w14:textId="2406F02F" w:rsidR="00B54BC4" w:rsidRPr="00F537EB" w:rsidRDefault="00B54BC4" w:rsidP="00B54BC4">
      <w:pPr>
        <w:pStyle w:val="PL"/>
      </w:pPr>
      <w:r w:rsidRPr="00F537EB">
        <w:t xml:space="preserve">                                                                                        </w:t>
      </w:r>
    </w:p>
    <w:p w14:paraId="63BB6710" w14:textId="77777777" w:rsidR="00B54BC4" w:rsidRPr="00F537EB" w:rsidRDefault="00B54BC4" w:rsidP="00B54BC4">
      <w:pPr>
        <w:pStyle w:val="PL"/>
      </w:pPr>
      <w:r w:rsidRPr="00F537EB">
        <w:t xml:space="preserve">    ...</w:t>
      </w:r>
    </w:p>
    <w:p w14:paraId="276DCDF2" w14:textId="77777777" w:rsidR="00B54BC4" w:rsidRPr="00F537EB" w:rsidRDefault="00B54BC4" w:rsidP="00B54BC4">
      <w:pPr>
        <w:pStyle w:val="PL"/>
      </w:pPr>
      <w:r w:rsidRPr="00F537EB">
        <w:t>}</w:t>
      </w:r>
    </w:p>
    <w:p w14:paraId="03092EFA" w14:textId="77777777" w:rsidR="004838D9" w:rsidRPr="00240E36" w:rsidRDefault="00552E18" w:rsidP="001F3BA7">
      <w:pPr>
        <w:pStyle w:val="BodyText"/>
      </w:pPr>
      <w:r w:rsidRPr="00240E36">
        <w:t xml:space="preserve">In Release-16, the UE uses the RSs in the corresponding TCI state when performing the measurement, but only for the measurement. </w:t>
      </w:r>
      <w:r w:rsidR="004838D9" w:rsidRPr="00240E36">
        <w:t xml:space="preserve">The measurement is then followed by a TCI state </w:t>
      </w:r>
      <w:r w:rsidR="004838D9" w:rsidRPr="00240E36">
        <w:lastRenderedPageBreak/>
        <w:t xml:space="preserve">update using MAC CE. In </w:t>
      </w:r>
      <w:proofErr w:type="gramStart"/>
      <w:r w:rsidR="004838D9" w:rsidRPr="00240E36">
        <w:t>the overwhelming majority of</w:t>
      </w:r>
      <w:proofErr w:type="gramEnd"/>
      <w:r w:rsidR="004838D9" w:rsidRPr="00240E36">
        <w:t xml:space="preserve"> cases, the gNB would follow the recommendation the UE provided in the measurement report:</w:t>
      </w:r>
    </w:p>
    <w:p w14:paraId="246C68EE" w14:textId="47FC1D81" w:rsidR="00552E18" w:rsidRPr="00240E36" w:rsidRDefault="004838D9" w:rsidP="004838D9">
      <w:pPr>
        <w:pStyle w:val="Observation"/>
      </w:pPr>
      <w:bookmarkStart w:id="8" w:name="_Toc47708495"/>
      <w:r w:rsidRPr="00240E36">
        <w:t xml:space="preserve">In </w:t>
      </w:r>
      <w:proofErr w:type="gramStart"/>
      <w:r w:rsidRPr="00240E36">
        <w:t>the overwhelming majority</w:t>
      </w:r>
      <w:r w:rsidR="000923A2" w:rsidRPr="00240E36">
        <w:t xml:space="preserve"> of</w:t>
      </w:r>
      <w:proofErr w:type="gramEnd"/>
      <w:r w:rsidR="000923A2" w:rsidRPr="00240E36">
        <w:t xml:space="preserve"> cases, the gNB would follow the recommendation the UE provided in the measurement report.</w:t>
      </w:r>
      <w:bookmarkEnd w:id="8"/>
      <w:r w:rsidRPr="00240E36">
        <w:t xml:space="preserve"> </w:t>
      </w:r>
    </w:p>
    <w:p w14:paraId="711BFAD1" w14:textId="32923ABA" w:rsidR="004838D9" w:rsidRDefault="004838D9" w:rsidP="001F3BA7">
      <w:pPr>
        <w:pStyle w:val="BodyText"/>
      </w:pPr>
      <w:r w:rsidRPr="00CB7A06">
        <w:rPr>
          <w:lang w:val="en-US"/>
        </w:rPr>
        <w:t xml:space="preserve">To streamline the procedure, </w:t>
      </w:r>
      <w:r w:rsidR="000923A2" w:rsidRPr="00CB7A06">
        <w:rPr>
          <w:lang w:val="en-US"/>
        </w:rPr>
        <w:t>a UE that performed a measurement on an aperiodic CSI-RS where a QCL reference is included could perform a TCI state update without any additional signaling from t</w:t>
      </w:r>
      <w:r w:rsidR="005E061D" w:rsidRPr="00CB7A06">
        <w:rPr>
          <w:lang w:val="en-US"/>
        </w:rPr>
        <w:t>h</w:t>
      </w:r>
      <w:r w:rsidR="000923A2" w:rsidRPr="00CB7A06">
        <w:rPr>
          <w:lang w:val="en-US"/>
        </w:rPr>
        <w:t xml:space="preserve">e gNB. </w:t>
      </w:r>
      <w:r w:rsidR="000923A2" w:rsidRPr="00240E36">
        <w:t xml:space="preserve">In other words, </w:t>
      </w:r>
      <w:r w:rsidRPr="00240E36">
        <w:t xml:space="preserve">the UE can be configured to interpret a measurement on an aperiodic CSI-RS also as an implicit TCI state update. After performing the measurement, the UE </w:t>
      </w:r>
      <w:r w:rsidR="000923A2" w:rsidRPr="00240E36">
        <w:t xml:space="preserve">would </w:t>
      </w:r>
      <w:r w:rsidRPr="00240E36">
        <w:t xml:space="preserve">update the TCI state for subsequent demodulation of PDCCH and PDSCH. </w:t>
      </w:r>
      <w:r>
        <w:t>Hence, we propose</w:t>
      </w:r>
    </w:p>
    <w:p w14:paraId="2EEF6622" w14:textId="1A195142" w:rsidR="004838D9" w:rsidRPr="00240E36" w:rsidRDefault="000923A2" w:rsidP="004838D9">
      <w:pPr>
        <w:pStyle w:val="Proposal"/>
      </w:pPr>
      <w:bookmarkStart w:id="9" w:name="_Toc47708506"/>
      <w:r w:rsidRPr="00240E36">
        <w:t>After performing a measurement on an aperiodic CSI-RS, the UE would update the TCI state used as QCL source for the PDCCH/PDSCH DMRS to the QCL source corresponding to the best CSI-RS.</w:t>
      </w:r>
      <w:bookmarkEnd w:id="9"/>
    </w:p>
    <w:p w14:paraId="56BA939E" w14:textId="6DD74571" w:rsidR="001F3BA7" w:rsidRPr="00240E36" w:rsidRDefault="000923A2" w:rsidP="001F3BA7">
      <w:pPr>
        <w:pStyle w:val="BodyText"/>
      </w:pPr>
      <w:r w:rsidRPr="00240E36">
        <w:t>The updated TCI state is applied after a delay, to make sure that the gNB will have time to stop the update (in rare cases). The delay will also ensure that the gNB can discover signaling errors, i.e., that the UE missed the measurement trigger, or that the gNB missed the measurement report.</w:t>
      </w:r>
      <w:r w:rsidR="00CB7A06">
        <w:rPr>
          <w:lang w:val="en-US"/>
        </w:rPr>
        <w:t xml:space="preserve"> If the gNB discovers a signaling error, it would have to send another aperiodic measurement trigger.</w:t>
      </w:r>
    </w:p>
    <w:p w14:paraId="76BEE1BA" w14:textId="384CCBF4" w:rsidR="00943F8E" w:rsidRDefault="00943F8E" w:rsidP="00A123D9">
      <w:pPr>
        <w:pStyle w:val="Heading2"/>
      </w:pPr>
      <w:r>
        <w:t>2.2</w:t>
      </w:r>
      <w:r>
        <w:tab/>
        <w:t>L1/L2-centric inter-cell mobility</w:t>
      </w:r>
    </w:p>
    <w:p w14:paraId="7441BF3E" w14:textId="06424B3F" w:rsidR="00A123D9" w:rsidRPr="00240E36" w:rsidRDefault="00A123D9" w:rsidP="00A123D9">
      <w:pPr>
        <w:pStyle w:val="BodyText"/>
      </w:pPr>
      <w:r w:rsidRPr="00CB7A06">
        <w:rPr>
          <w:lang w:val="en-US"/>
        </w:rPr>
        <w:t xml:space="preserve">In current cellular systems, a </w:t>
      </w:r>
      <w:r w:rsidRPr="00CB7A06">
        <w:rPr>
          <w:i/>
          <w:lang w:val="en-US"/>
        </w:rPr>
        <w:t xml:space="preserve">handover </w:t>
      </w:r>
      <w:r w:rsidRPr="00CB7A06">
        <w:rPr>
          <w:lang w:val="en-US"/>
        </w:rPr>
        <w:t xml:space="preserve">is performed when the </w:t>
      </w:r>
      <w:r w:rsidR="002F17A3" w:rsidRPr="00CB7A06">
        <w:rPr>
          <w:lang w:val="en-US"/>
        </w:rPr>
        <w:t>UE</w:t>
      </w:r>
      <w:r w:rsidRPr="00CB7A06">
        <w:rPr>
          <w:lang w:val="en-US"/>
        </w:rPr>
        <w:t xml:space="preserve"> moves from the coverage area of one cell to another. </w:t>
      </w:r>
      <w:r w:rsidRPr="00240E36">
        <w:t>Typically, the UE is configured to perform event-triggered reporting of the quality of its serving cell as well as the potential target cells: the UE filters the L1 measurements, and only if the filtered measurement is above a certain threshold, the UE decides to send a measurement report. To send the measurement report, the UE requests UL resources using a normal scheduling request, and after being granted resources, the UE sends an RRC measurement report.</w:t>
      </w:r>
    </w:p>
    <w:p w14:paraId="1952B632" w14:textId="77777777" w:rsidR="00A123D9" w:rsidRPr="00240E36" w:rsidRDefault="00A123D9" w:rsidP="00A123D9">
      <w:pPr>
        <w:pStyle w:val="BodyText"/>
      </w:pPr>
      <w:r w:rsidRPr="00240E36">
        <w:t xml:space="preserve">When the network receives the measurement report, it transmits an RRC reconfiguration with sync message to the UE. Upon reception of the message, the UE initiates a </w:t>
      </w:r>
      <w:proofErr w:type="gramStart"/>
      <w:r w:rsidRPr="00240E36">
        <w:t>random access</w:t>
      </w:r>
      <w:proofErr w:type="gramEnd"/>
      <w:r w:rsidRPr="00240E36">
        <w:t xml:space="preserve"> procedure with the target cell. Once the handover procedure is complete, the target cell confirms that the handover is complete.</w:t>
      </w:r>
    </w:p>
    <w:p w14:paraId="15245BA2" w14:textId="2382FDE6" w:rsidR="00A123D9" w:rsidRPr="00240E36" w:rsidRDefault="00A123D9" w:rsidP="00A123D9">
      <w:pPr>
        <w:pStyle w:val="BodyText"/>
      </w:pPr>
      <w:r w:rsidRPr="00240E36">
        <w:t xml:space="preserve">The handover procedure is completely general: it applies to essentially any configuration for serving and target cells. However, it relies on transmission of rather large </w:t>
      </w:r>
      <w:r w:rsidR="00302085">
        <w:t xml:space="preserve">data packet to carry the </w:t>
      </w:r>
      <w:r w:rsidRPr="00240E36">
        <w:t xml:space="preserve">messages at the cell edge, where the channel conditions are bad, and getting worse. The procedure also leads to noticeable interrupts in the transmission when the UE access the target cell. During Rel-16, RAN2 specified two concepts to reduce these issues, conditional handover (CHO) and dual active protocol stack (DAPS). Both solutions have limitations: CHO reduces the network control of the handover procedure, and DAPS leads to complex UE implementations </w:t>
      </w:r>
      <w:proofErr w:type="gramStart"/>
      <w:r w:rsidRPr="00240E36">
        <w:t>in particular for</w:t>
      </w:r>
      <w:proofErr w:type="gramEnd"/>
      <w:r w:rsidRPr="00240E36">
        <w:t xml:space="preserve"> the most common scenario (intra-frequency handover). </w:t>
      </w:r>
    </w:p>
    <w:p w14:paraId="2EDC038F" w14:textId="3FFB46AF" w:rsidR="00A123D9" w:rsidRPr="00CB7A06" w:rsidRDefault="00A123D9" w:rsidP="00A123D9">
      <w:pPr>
        <w:pStyle w:val="BodyText"/>
        <w:rPr>
          <w:lang w:val="en-US"/>
        </w:rPr>
      </w:pPr>
      <w:r w:rsidRPr="00240E36">
        <w:t xml:space="preserve">The beam management procedures specified in Rel-15 and Rel-16 involve performing RSRP measurements on RSs, </w:t>
      </w:r>
      <w:proofErr w:type="gramStart"/>
      <w:r w:rsidRPr="00240E36">
        <w:t>and also</w:t>
      </w:r>
      <w:proofErr w:type="gramEnd"/>
      <w:r w:rsidRPr="00240E36">
        <w:t xml:space="preserve"> to signal TCI states, spatial relations and pathloss reference RSs to the UE. In Release-16, all these RSs are implicitly related to a serving cell: there is no possibility to include a reference to an RS in a non-serving cell in a TCI state. </w:t>
      </w:r>
      <w:r w:rsidRPr="00CB7A06">
        <w:rPr>
          <w:lang w:val="en-US"/>
        </w:rPr>
        <w:t xml:space="preserve">As the TCI states are used also when performing measurements on CSI-RS, performing measurements on CSI-RS for beam management </w:t>
      </w:r>
      <w:r w:rsidR="002F17A3" w:rsidRPr="00CB7A06">
        <w:rPr>
          <w:lang w:val="en-US"/>
        </w:rPr>
        <w:t>from a non-serving cell</w:t>
      </w:r>
      <w:r w:rsidRPr="00CB7A06">
        <w:rPr>
          <w:lang w:val="en-US"/>
        </w:rPr>
        <w:t xml:space="preserve"> is not supported either.</w:t>
      </w:r>
    </w:p>
    <w:p w14:paraId="49815725" w14:textId="77777777" w:rsidR="00A123D9" w:rsidRPr="00240E36" w:rsidRDefault="00A123D9" w:rsidP="00A123D9">
      <w:pPr>
        <w:pStyle w:val="Observation"/>
      </w:pPr>
      <w:bookmarkStart w:id="10" w:name="_Toc47708496"/>
      <w:r w:rsidRPr="00240E36">
        <w:t>The Release-16 beam management procedures can only refer to RSs that are related to a serving cell.</w:t>
      </w:r>
      <w:bookmarkEnd w:id="10"/>
    </w:p>
    <w:p w14:paraId="01F90A40" w14:textId="599DEB12" w:rsidR="00A123D9" w:rsidRPr="00240E36" w:rsidRDefault="00A123D9" w:rsidP="00A123D9">
      <w:pPr>
        <w:pStyle w:val="BodyText"/>
      </w:pPr>
      <w:r w:rsidRPr="00240E36">
        <w:t>This limitation is somewhat artificial: the UE already today synchronizes and performs measurements on SSBs in non-serving cells, as part of handover procedure. Since the UE synchronizes to an SSB from a non-serving cell, the UE derives the QCL-</w:t>
      </w:r>
      <w:proofErr w:type="spellStart"/>
      <w:r w:rsidRPr="00240E36">
        <w:rPr>
          <w:lang w:val="en-US"/>
        </w:rPr>
        <w:t>TypeC</w:t>
      </w:r>
      <w:proofErr w:type="spellEnd"/>
      <w:r w:rsidRPr="00240E36">
        <w:t xml:space="preserve"> properties of that </w:t>
      </w:r>
      <w:r w:rsidRPr="00240E36">
        <w:lastRenderedPageBreak/>
        <w:t>SSB and could use these QCL-</w:t>
      </w:r>
      <w:proofErr w:type="spellStart"/>
      <w:r w:rsidRPr="00240E36">
        <w:rPr>
          <w:lang w:val="en-US"/>
        </w:rPr>
        <w:t>TypeC</w:t>
      </w:r>
      <w:proofErr w:type="spellEnd"/>
      <w:r w:rsidRPr="00240E36">
        <w:t xml:space="preserve"> properties to</w:t>
      </w:r>
      <w:r w:rsidR="00DA11F3" w:rsidRPr="00240E36">
        <w:t xml:space="preserve"> </w:t>
      </w:r>
      <w:r w:rsidR="00DA11F3">
        <w:rPr>
          <w:lang w:val="en-US"/>
        </w:rPr>
        <w:t>receive</w:t>
      </w:r>
      <w:r w:rsidRPr="00240E36">
        <w:t xml:space="preserve"> other reference signals. In fact, the UE already performs measurements of L1-RSRP also for non-serving cells, but the specification does not provide any possibility for the UE to report these measurements:</w:t>
      </w:r>
    </w:p>
    <w:p w14:paraId="4A0AEAA1" w14:textId="77777777" w:rsidR="00A123D9" w:rsidRPr="00240E36" w:rsidRDefault="00A123D9" w:rsidP="00A123D9">
      <w:pPr>
        <w:pStyle w:val="Observation"/>
      </w:pPr>
      <w:bookmarkStart w:id="11" w:name="_Toc47708497"/>
      <w:r w:rsidRPr="00240E36">
        <w:t>The limitation that the beam management procedures only refer to RS related to a serving cell is artificial, and UEs already today have support for at least some of the functionality related to inter-cell beam management.</w:t>
      </w:r>
      <w:bookmarkEnd w:id="11"/>
    </w:p>
    <w:p w14:paraId="1FD7F0DE" w14:textId="77777777" w:rsidR="00A123D9" w:rsidRPr="00240E36" w:rsidRDefault="00A123D9" w:rsidP="00A123D9">
      <w:pPr>
        <w:pStyle w:val="BodyText"/>
      </w:pPr>
      <w:r w:rsidRPr="00240E36">
        <w:t>Note that beam management relies on two abstractions:</w:t>
      </w:r>
    </w:p>
    <w:p w14:paraId="3A403EFA" w14:textId="77777777" w:rsidR="00A123D9" w:rsidRPr="00240E36" w:rsidRDefault="00A123D9" w:rsidP="00A123D9">
      <w:pPr>
        <w:pStyle w:val="BodyText"/>
        <w:numPr>
          <w:ilvl w:val="0"/>
          <w:numId w:val="26"/>
        </w:numPr>
      </w:pPr>
      <w:r w:rsidRPr="00240E36">
        <w:t>CSI report configurations, which includes descriptions of the reference signals that are used as targets for the measurements</w:t>
      </w:r>
    </w:p>
    <w:p w14:paraId="4DBCDDDA" w14:textId="77777777" w:rsidR="00A123D9" w:rsidRPr="00240E36" w:rsidRDefault="00A123D9" w:rsidP="00A123D9">
      <w:pPr>
        <w:pStyle w:val="BodyText"/>
        <w:numPr>
          <w:ilvl w:val="0"/>
          <w:numId w:val="26"/>
        </w:numPr>
      </w:pPr>
      <w:r w:rsidRPr="00240E36">
        <w:t>TCI states, which contains information about the reference signals to simplify their reception at the UE.</w:t>
      </w:r>
    </w:p>
    <w:p w14:paraId="6197D6A6" w14:textId="77777777" w:rsidR="00A123D9" w:rsidRPr="00240E36" w:rsidRDefault="00A123D9" w:rsidP="00A123D9">
      <w:pPr>
        <w:pStyle w:val="BodyText"/>
      </w:pPr>
      <w:r w:rsidRPr="00240E36">
        <w:t xml:space="preserve">Both the CSI report configurations and the TCI states are configured via RRC. </w:t>
      </w:r>
    </w:p>
    <w:p w14:paraId="19129212" w14:textId="77777777" w:rsidR="00A123D9" w:rsidRPr="00240E36" w:rsidRDefault="00A123D9" w:rsidP="00A123D9">
      <w:pPr>
        <w:pStyle w:val="BodyText"/>
      </w:pPr>
      <w:r w:rsidRPr="00240E36">
        <w:t>To facilitate inter-cell beam management, we can make use of these two abstractions, by simply modifying the configuration of the CSI reports and the TCI states:</w:t>
      </w:r>
    </w:p>
    <w:p w14:paraId="787A885D" w14:textId="77777777" w:rsidR="00A123D9" w:rsidRPr="00240E36" w:rsidRDefault="00A123D9" w:rsidP="00A123D9">
      <w:pPr>
        <w:pStyle w:val="Observation"/>
      </w:pPr>
      <w:bookmarkStart w:id="12" w:name="_Toc47708498"/>
      <w:r w:rsidRPr="00240E36">
        <w:t>To facilitate inter-cell beam management, the CSI report configurations and the TCI needs to be updated.</w:t>
      </w:r>
      <w:bookmarkEnd w:id="12"/>
    </w:p>
    <w:p w14:paraId="0FCE5119" w14:textId="77777777" w:rsidR="00A123D9" w:rsidRPr="00240E36" w:rsidRDefault="00A123D9" w:rsidP="00A123D9">
      <w:pPr>
        <w:pStyle w:val="BodyText"/>
      </w:pPr>
      <w:r w:rsidRPr="00240E36">
        <w:t>However, there is no need to introduce any fundamentally new procedure: we simply use the existing beam management procedures. We also foresee that we will define UE features starting from the UE features defined for beam management, regarding, e.g., on how many SSBs the UE can perform L1-RSRP measurements.</w:t>
      </w:r>
    </w:p>
    <w:p w14:paraId="7909E28D" w14:textId="77777777" w:rsidR="00A123D9" w:rsidRPr="00240E36" w:rsidRDefault="00A123D9" w:rsidP="00A123D9">
      <w:pPr>
        <w:pStyle w:val="BodyText"/>
      </w:pPr>
      <w:r w:rsidRPr="00240E36">
        <w:t>To provide a reference to a non-serving cell, the physical cell identity (PCI) should be included in the relevant RRC configurations. Regarding the TCI states, it would seem natural to include the PCI in the TCI state:</w:t>
      </w:r>
    </w:p>
    <w:p w14:paraId="0B453D74" w14:textId="77777777" w:rsidR="00A123D9" w:rsidRPr="00240E36" w:rsidRDefault="00A123D9" w:rsidP="00A123D9">
      <w:pPr>
        <w:pStyle w:val="Proposal"/>
      </w:pPr>
      <w:bookmarkStart w:id="13" w:name="_Toc47708507"/>
      <w:r w:rsidRPr="00240E36">
        <w:t>Include a PCI in the TCI state to facilitate the use of reference signals from non-serving cells as QCL sources.</w:t>
      </w:r>
      <w:bookmarkEnd w:id="13"/>
    </w:p>
    <w:p w14:paraId="7A5332ED" w14:textId="77777777" w:rsidR="00A123D9" w:rsidRPr="00240E36" w:rsidRDefault="00A123D9" w:rsidP="00A123D9">
      <w:pPr>
        <w:pStyle w:val="BodyText"/>
      </w:pPr>
      <w:r w:rsidRPr="00240E36">
        <w:t xml:space="preserve">The PCI state could be included in the TCI state itself, meaning that it would apply to the one or two QCL-info(s) that are part of the TCI state, or it can be part of the separate QCL-info. Both options would provide the required functionality. </w:t>
      </w:r>
    </w:p>
    <w:p w14:paraId="64D5993E" w14:textId="77777777" w:rsidR="00A123D9" w:rsidRPr="00240E36" w:rsidRDefault="00A123D9" w:rsidP="00A123D9">
      <w:pPr>
        <w:pStyle w:val="BodyText"/>
      </w:pPr>
      <w:r w:rsidRPr="00240E36">
        <w:t>By extending the TCI states with a PCI, it becomes possible to use SSBs from non-serving cells as QCL sources. This includes performing measurements on CSI-RS: any CSI-RS resource has a QCL source, and by allowing that QCL source to point to an SSB in a non-serving cell, it becomes possible to perform measurements on a CSI-RS, even when the CSI-RS is transmitted from a non-serving cell:</w:t>
      </w:r>
    </w:p>
    <w:p w14:paraId="7164D622" w14:textId="77777777" w:rsidR="00A123D9" w:rsidRPr="00240E36" w:rsidRDefault="00A123D9" w:rsidP="00A123D9">
      <w:pPr>
        <w:pStyle w:val="Observation"/>
      </w:pPr>
      <w:bookmarkStart w:id="14" w:name="_Toc47708499"/>
      <w:r w:rsidRPr="00240E36">
        <w:t>By introducing a PCI in a TCI state, the UE may be configured to perform measurements on CSI-RS transmitted from a non-serving cell.</w:t>
      </w:r>
      <w:bookmarkEnd w:id="14"/>
    </w:p>
    <w:p w14:paraId="4477C4CC" w14:textId="77777777" w:rsidR="00A123D9" w:rsidRPr="00240E36" w:rsidRDefault="00A123D9" w:rsidP="00A123D9">
      <w:pPr>
        <w:pStyle w:val="BodyText"/>
      </w:pPr>
      <w:r w:rsidRPr="00240E36">
        <w:t>However, another important beam management measurement is measurements on SSBs. To be able to configure the UE to perform L1-RSRP measurements on SSBs from non-serving cells, some additions to the CSI reporting framework needs to be introduced.</w:t>
      </w:r>
    </w:p>
    <w:p w14:paraId="41C5960F" w14:textId="77777777" w:rsidR="00A123D9" w:rsidRPr="00240E36" w:rsidRDefault="00A123D9" w:rsidP="00A123D9">
      <w:pPr>
        <w:pStyle w:val="BodyText"/>
      </w:pPr>
      <w:r w:rsidRPr="00240E36">
        <w:t xml:space="preserve">The NW configures the UE to perform measurements on SSBs by using the RRC IE </w:t>
      </w:r>
      <w:r w:rsidRPr="00240E36">
        <w:rPr>
          <w:i/>
        </w:rPr>
        <w:t>CSI-SSB-</w:t>
      </w:r>
      <w:proofErr w:type="spellStart"/>
      <w:r w:rsidRPr="00240E36">
        <w:rPr>
          <w:i/>
        </w:rPr>
        <w:t>ResourceSet</w:t>
      </w:r>
      <w:proofErr w:type="spellEnd"/>
      <w:r w:rsidRPr="00240E36">
        <w:t xml:space="preserve">. In Rel-16, an </w:t>
      </w:r>
      <w:r w:rsidRPr="00240E36">
        <w:rPr>
          <w:i/>
        </w:rPr>
        <w:t>CSI-SSB-</w:t>
      </w:r>
      <w:proofErr w:type="spellStart"/>
      <w:r w:rsidRPr="00240E36">
        <w:rPr>
          <w:i/>
        </w:rPr>
        <w:t>ResourceSet</w:t>
      </w:r>
      <w:proofErr w:type="spellEnd"/>
      <w:r w:rsidRPr="00240E36">
        <w:t xml:space="preserve"> contains a list of SSB indices, implicitly pointing to the current serving cell. The </w:t>
      </w:r>
      <w:r w:rsidRPr="00240E36">
        <w:rPr>
          <w:i/>
        </w:rPr>
        <w:t>CSI-SSB-</w:t>
      </w:r>
      <w:proofErr w:type="spellStart"/>
      <w:r w:rsidRPr="00240E36">
        <w:rPr>
          <w:i/>
        </w:rPr>
        <w:t>ResourceSet</w:t>
      </w:r>
      <w:proofErr w:type="spellEnd"/>
      <w:r w:rsidRPr="00240E36">
        <w:rPr>
          <w:i/>
        </w:rPr>
        <w:t xml:space="preserve"> </w:t>
      </w:r>
      <w:r w:rsidRPr="00240E36">
        <w:t xml:space="preserve">is then referenced from the </w:t>
      </w:r>
      <w:r w:rsidRPr="00240E36">
        <w:rPr>
          <w:i/>
        </w:rPr>
        <w:t>CSI-</w:t>
      </w:r>
      <w:proofErr w:type="spellStart"/>
      <w:r w:rsidRPr="00240E36">
        <w:rPr>
          <w:i/>
        </w:rPr>
        <w:t>AssociatedReportConfigInfo</w:t>
      </w:r>
      <w:proofErr w:type="spellEnd"/>
      <w:r w:rsidRPr="00240E36">
        <w:rPr>
          <w:i/>
        </w:rPr>
        <w:t xml:space="preserve"> </w:t>
      </w:r>
      <w:r w:rsidRPr="00240E36">
        <w:t xml:space="preserve">(for aperiodic reporting) or from </w:t>
      </w:r>
      <w:r w:rsidRPr="00240E36">
        <w:rPr>
          <w:i/>
        </w:rPr>
        <w:t>CSI-</w:t>
      </w:r>
      <w:proofErr w:type="spellStart"/>
      <w:r w:rsidRPr="00240E36">
        <w:rPr>
          <w:i/>
        </w:rPr>
        <w:t>ResourceConfig</w:t>
      </w:r>
      <w:proofErr w:type="spellEnd"/>
      <w:r w:rsidRPr="00240E36">
        <w:rPr>
          <w:i/>
        </w:rPr>
        <w:t xml:space="preserve"> </w:t>
      </w:r>
      <w:r w:rsidRPr="00240E36">
        <w:t>(for periodic and semi-persistent reporting).</w:t>
      </w:r>
    </w:p>
    <w:p w14:paraId="541A9005" w14:textId="77777777" w:rsidR="00A123D9" w:rsidRDefault="00A123D9" w:rsidP="00A123D9">
      <w:pPr>
        <w:pStyle w:val="BodyText"/>
      </w:pPr>
      <w:r w:rsidRPr="00240E36">
        <w:lastRenderedPageBreak/>
        <w:t xml:space="preserve">It would thus seem appropriate to include a PCI in the </w:t>
      </w:r>
      <w:r w:rsidRPr="00240E36">
        <w:rPr>
          <w:i/>
        </w:rPr>
        <w:t>CSI-SSB-</w:t>
      </w:r>
      <w:proofErr w:type="spellStart"/>
      <w:r w:rsidRPr="00240E36">
        <w:rPr>
          <w:i/>
        </w:rPr>
        <w:t>ResourceSet</w:t>
      </w:r>
      <w:proofErr w:type="spellEnd"/>
      <w:r w:rsidRPr="00240E36">
        <w:rPr>
          <w:i/>
        </w:rPr>
        <w:t xml:space="preserve">. </w:t>
      </w:r>
      <w:r w:rsidRPr="00240E36">
        <w:t xml:space="preserve">With this addition, the UE can be configured to report using periodic, semi-persistent and aperiodic reporting. </w:t>
      </w:r>
      <w:r>
        <w:t xml:space="preserve">Also here, there are two options: </w:t>
      </w:r>
    </w:p>
    <w:p w14:paraId="1A13F01A" w14:textId="77777777" w:rsidR="00A123D9" w:rsidRPr="00240E36" w:rsidRDefault="00A123D9" w:rsidP="00A123D9">
      <w:pPr>
        <w:pStyle w:val="BodyText"/>
        <w:numPr>
          <w:ilvl w:val="0"/>
          <w:numId w:val="27"/>
        </w:numPr>
      </w:pPr>
      <w:r w:rsidRPr="00240E36">
        <w:t xml:space="preserve">The PCI is included directly in the </w:t>
      </w:r>
      <w:r w:rsidRPr="00240E36">
        <w:rPr>
          <w:i/>
        </w:rPr>
        <w:t>CSI-SSB-</w:t>
      </w:r>
      <w:proofErr w:type="spellStart"/>
      <w:r w:rsidRPr="00240E36">
        <w:rPr>
          <w:i/>
        </w:rPr>
        <w:t>ResourceSet</w:t>
      </w:r>
      <w:proofErr w:type="spellEnd"/>
      <w:r w:rsidRPr="00240E36">
        <w:rPr>
          <w:i/>
        </w:rPr>
        <w:t xml:space="preserve">, </w:t>
      </w:r>
      <w:r w:rsidRPr="00240E36">
        <w:t xml:space="preserve">meaning that all SSBs in one </w:t>
      </w:r>
      <w:r w:rsidRPr="00240E36">
        <w:rPr>
          <w:i/>
        </w:rPr>
        <w:t>CSI-SSB-</w:t>
      </w:r>
      <w:proofErr w:type="spellStart"/>
      <w:r w:rsidRPr="00240E36">
        <w:rPr>
          <w:i/>
        </w:rPr>
        <w:t>ResourceSet</w:t>
      </w:r>
      <w:proofErr w:type="spellEnd"/>
      <w:r w:rsidRPr="00240E36">
        <w:rPr>
          <w:i/>
        </w:rPr>
        <w:t xml:space="preserve"> </w:t>
      </w:r>
      <w:r w:rsidRPr="00240E36">
        <w:t xml:space="preserve">belongs to the same non-serving cell. </w:t>
      </w:r>
    </w:p>
    <w:p w14:paraId="09EED896" w14:textId="77777777" w:rsidR="00A123D9" w:rsidRPr="00240E36" w:rsidRDefault="00A123D9" w:rsidP="00A123D9">
      <w:pPr>
        <w:pStyle w:val="BodyText"/>
        <w:numPr>
          <w:ilvl w:val="0"/>
          <w:numId w:val="27"/>
        </w:numPr>
      </w:pPr>
      <w:r w:rsidRPr="00240E36">
        <w:t xml:space="preserve">The PCI is included in the field </w:t>
      </w:r>
      <w:proofErr w:type="spellStart"/>
      <w:r w:rsidRPr="00240E36">
        <w:rPr>
          <w:i/>
        </w:rPr>
        <w:t>csi</w:t>
      </w:r>
      <w:proofErr w:type="spellEnd"/>
      <w:r w:rsidRPr="00240E36">
        <w:rPr>
          <w:i/>
        </w:rPr>
        <w:t>-SSB-</w:t>
      </w:r>
      <w:proofErr w:type="spellStart"/>
      <w:r w:rsidRPr="00240E36">
        <w:rPr>
          <w:i/>
        </w:rPr>
        <w:t>ResourceList</w:t>
      </w:r>
      <w:proofErr w:type="spellEnd"/>
      <w:r w:rsidRPr="00240E36">
        <w:t xml:space="preserve">, inside the </w:t>
      </w:r>
      <w:r w:rsidRPr="00240E36">
        <w:rPr>
          <w:i/>
        </w:rPr>
        <w:t>CSI-SSB-</w:t>
      </w:r>
      <w:proofErr w:type="spellStart"/>
      <w:r w:rsidRPr="00240E36">
        <w:rPr>
          <w:i/>
        </w:rPr>
        <w:t>ResourceSet</w:t>
      </w:r>
      <w:proofErr w:type="spellEnd"/>
      <w:r w:rsidRPr="00240E36">
        <w:t xml:space="preserve">. This means that one </w:t>
      </w:r>
      <w:r w:rsidRPr="00240E36">
        <w:rPr>
          <w:i/>
        </w:rPr>
        <w:t>CSI-SSB-</w:t>
      </w:r>
      <w:proofErr w:type="spellStart"/>
      <w:r w:rsidRPr="00240E36">
        <w:rPr>
          <w:i/>
        </w:rPr>
        <w:t>ResourceSet</w:t>
      </w:r>
      <w:proofErr w:type="spellEnd"/>
      <w:r w:rsidRPr="00240E36">
        <w:rPr>
          <w:i/>
        </w:rPr>
        <w:t xml:space="preserve"> </w:t>
      </w:r>
      <w:r w:rsidRPr="00240E36">
        <w:t xml:space="preserve">can contain SSBs from different cells.              </w:t>
      </w:r>
    </w:p>
    <w:p w14:paraId="2AF79C61" w14:textId="77777777" w:rsidR="00A123D9" w:rsidRDefault="00A123D9" w:rsidP="00A123D9">
      <w:pPr>
        <w:pStyle w:val="BodyText"/>
      </w:pPr>
      <w:r w:rsidRPr="00240E36">
        <w:t xml:space="preserve">Here it would seem that the second option is preferable: requesting measurements from individual non-serving cells may be prohibitively complicated. </w:t>
      </w:r>
      <w:r>
        <w:t>Thus, we propose</w:t>
      </w:r>
    </w:p>
    <w:p w14:paraId="7836FD51" w14:textId="77777777" w:rsidR="00A123D9" w:rsidRPr="00240E36" w:rsidRDefault="00A123D9" w:rsidP="00A123D9">
      <w:pPr>
        <w:pStyle w:val="Proposal"/>
      </w:pPr>
      <w:bookmarkStart w:id="15" w:name="_Toc47708508"/>
      <w:r w:rsidRPr="00240E36">
        <w:t xml:space="preserve">Define the </w:t>
      </w:r>
      <w:r w:rsidRPr="00240E36">
        <w:rPr>
          <w:i/>
        </w:rPr>
        <w:t>CSI-SSB-</w:t>
      </w:r>
      <w:proofErr w:type="spellStart"/>
      <w:r w:rsidRPr="00240E36">
        <w:rPr>
          <w:i/>
        </w:rPr>
        <w:t>ResourceSet</w:t>
      </w:r>
      <w:proofErr w:type="spellEnd"/>
      <w:r w:rsidRPr="00240E36">
        <w:rPr>
          <w:i/>
        </w:rPr>
        <w:t xml:space="preserve"> </w:t>
      </w:r>
      <w:r w:rsidRPr="00240E36">
        <w:t>so that one report can contain measurements from different cells.</w:t>
      </w:r>
      <w:bookmarkEnd w:id="15"/>
    </w:p>
    <w:p w14:paraId="4D5A60DC" w14:textId="77777777" w:rsidR="00CD4D63" w:rsidRPr="00240E36" w:rsidRDefault="00CD4D63" w:rsidP="00CD4D63">
      <w:pPr>
        <w:pStyle w:val="BodyText"/>
      </w:pPr>
      <w:r w:rsidRPr="00240E36">
        <w:t xml:space="preserve">It is our understanding that we would reuse much of the functionality already implemented in the UE, </w:t>
      </w:r>
      <w:proofErr w:type="gramStart"/>
      <w:r w:rsidRPr="00240E36">
        <w:t>in particular regarding</w:t>
      </w:r>
      <w:proofErr w:type="gramEnd"/>
      <w:r w:rsidRPr="00240E36">
        <w:t xml:space="preserve"> measurements. Thus, the extension should not imply any significant increase in the UE complexity:</w:t>
      </w:r>
    </w:p>
    <w:p w14:paraId="1F42C22C" w14:textId="77777777" w:rsidR="00CD4D63" w:rsidRPr="00240E36" w:rsidRDefault="00CD4D63" w:rsidP="00CD4D63">
      <w:pPr>
        <w:pStyle w:val="Observation"/>
        <w:overflowPunct w:val="0"/>
        <w:autoSpaceDE w:val="0"/>
        <w:autoSpaceDN w:val="0"/>
        <w:adjustRightInd w:val="0"/>
        <w:spacing w:line="240" w:lineRule="auto"/>
        <w:textAlignment w:val="baseline"/>
      </w:pPr>
      <w:bookmarkStart w:id="16" w:name="_Toc47708500"/>
      <w:r w:rsidRPr="00240E36">
        <w:t>The inter-cell measurements would reuse the measurements the UE is already performing – only the reporting would change.</w:t>
      </w:r>
      <w:bookmarkEnd w:id="16"/>
    </w:p>
    <w:p w14:paraId="04F5275C" w14:textId="243010EA" w:rsidR="0039337F" w:rsidRPr="00240E36" w:rsidRDefault="0039337F" w:rsidP="00A123D9">
      <w:pPr>
        <w:pStyle w:val="BodyText"/>
      </w:pPr>
      <w:r w:rsidRPr="00240E36">
        <w:t>In addition, there would be a need to consider the properties of the UL transmissions. This may be performed as part of the unified TCI/common beam work in Release-17. In any case, there would be a need to introduce the PCI in the configuration that relates to</w:t>
      </w:r>
    </w:p>
    <w:p w14:paraId="11747A6E" w14:textId="06275A69" w:rsidR="0039337F" w:rsidRDefault="0039337F" w:rsidP="0039337F">
      <w:pPr>
        <w:pStyle w:val="BodyText"/>
        <w:numPr>
          <w:ilvl w:val="0"/>
          <w:numId w:val="31"/>
        </w:numPr>
      </w:pPr>
      <w:r>
        <w:t xml:space="preserve">Spatial relations. </w:t>
      </w:r>
    </w:p>
    <w:p w14:paraId="5B71CBC3" w14:textId="5738D541" w:rsidR="0039337F" w:rsidRPr="00240E36" w:rsidRDefault="0039337F" w:rsidP="00A123D9">
      <w:pPr>
        <w:pStyle w:val="BodyText"/>
        <w:numPr>
          <w:ilvl w:val="0"/>
          <w:numId w:val="31"/>
        </w:numPr>
      </w:pPr>
      <w:r w:rsidRPr="00240E36">
        <w:t>Pathloss reference RS for UL power control</w:t>
      </w:r>
    </w:p>
    <w:p w14:paraId="3A59FF7F" w14:textId="41B3CEFA" w:rsidR="0039337F" w:rsidRPr="00240E36" w:rsidRDefault="0039337F" w:rsidP="0039337F">
      <w:pPr>
        <w:pStyle w:val="Proposal"/>
      </w:pPr>
      <w:bookmarkStart w:id="17" w:name="_Toc47708509"/>
      <w:r w:rsidRPr="00240E36">
        <w:t>Introduce a PCI in the configurations related to UL transmissions: spatial relations and pathloss reference RS.</w:t>
      </w:r>
      <w:bookmarkEnd w:id="17"/>
      <w:r w:rsidRPr="00240E36">
        <w:t xml:space="preserve"> </w:t>
      </w:r>
    </w:p>
    <w:p w14:paraId="70A10296" w14:textId="4BF39A43" w:rsidR="00A123D9" w:rsidRPr="00ED2B29" w:rsidRDefault="00A123D9" w:rsidP="00A123D9">
      <w:pPr>
        <w:pStyle w:val="BodyText"/>
      </w:pPr>
      <w:r w:rsidRPr="00240E36">
        <w:t xml:space="preserve">The handover functionality included in NR release 16 is quite general. It is possible to perform handover irrespective of the configuration of the source and target cell. In contrast, the L1/L2 centric inter-cell mobility solution sketched above is associated with significant restrictions: the configuration of the serving and non-serving cells </w:t>
      </w:r>
      <w:r w:rsidR="0039337F" w:rsidRPr="00240E36">
        <w:t xml:space="preserve">needs to be </w:t>
      </w:r>
      <w:r w:rsidRPr="00240E36">
        <w:t>similar: for example, the frequency allocation and subcarrier spacing of the SSBs must be the same</w:t>
      </w:r>
      <w:r w:rsidR="0039337F" w:rsidRPr="00240E36">
        <w:t xml:space="preserve">, and the same is true for CSI-RS reception. </w:t>
      </w:r>
      <w:r w:rsidR="0039337F">
        <w:t>Thus,</w:t>
      </w:r>
    </w:p>
    <w:p w14:paraId="6BED1F90" w14:textId="77777777" w:rsidR="00A123D9" w:rsidRPr="00240E36" w:rsidRDefault="00A123D9" w:rsidP="00A123D9">
      <w:pPr>
        <w:pStyle w:val="Observation"/>
      </w:pPr>
      <w:bookmarkStart w:id="18" w:name="_Toc47708501"/>
      <w:r w:rsidRPr="00240E36">
        <w:t>The above solution puts some restrictions on the configuration of serving and non-serving cells.</w:t>
      </w:r>
      <w:bookmarkEnd w:id="18"/>
      <w:r w:rsidRPr="00240E36">
        <w:t xml:space="preserve"> </w:t>
      </w:r>
    </w:p>
    <w:p w14:paraId="02E0C6E3" w14:textId="24279000" w:rsidR="00A123D9" w:rsidRPr="00240E36" w:rsidRDefault="00A123D9" w:rsidP="00A123D9">
      <w:pPr>
        <w:pStyle w:val="BodyText"/>
      </w:pPr>
      <w:r w:rsidRPr="00240E36">
        <w:t>In our understanding, these limitations are acceptable, and would provide gains in the most important scenarios for inter-cell beam management. Although it is completely feasible to introduce configuration support for, e.g., inter-frequency measurements on non-serving cells, such measurements may require measurements gaps, which would significantly reduce the gains of inter-cell beam management as compared to L3 mobility.</w:t>
      </w:r>
    </w:p>
    <w:p w14:paraId="18637238" w14:textId="623A135B" w:rsidR="00A56216" w:rsidRPr="00240E36" w:rsidRDefault="00A56216" w:rsidP="00A56216">
      <w:pPr>
        <w:pStyle w:val="BodyText"/>
      </w:pPr>
      <w:r w:rsidRPr="00240E36">
        <w:t>The beam management solutions were specified for application in FR2. However, the multi-TRP scenario is as applicable – or perhaps even more applicable – to FR1. The inter-cell beam management solutions must thus be equally applicable to FR1:</w:t>
      </w:r>
    </w:p>
    <w:p w14:paraId="3A217F46" w14:textId="77777777" w:rsidR="00A56216" w:rsidRPr="00240E36" w:rsidRDefault="00A56216" w:rsidP="00A56216">
      <w:pPr>
        <w:pStyle w:val="Observation"/>
        <w:overflowPunct w:val="0"/>
        <w:autoSpaceDE w:val="0"/>
        <w:autoSpaceDN w:val="0"/>
        <w:adjustRightInd w:val="0"/>
        <w:spacing w:line="240" w:lineRule="auto"/>
        <w:textAlignment w:val="baseline"/>
      </w:pPr>
      <w:bookmarkStart w:id="19" w:name="_Toc40478788"/>
      <w:bookmarkStart w:id="20" w:name="_Toc47708502"/>
      <w:r w:rsidRPr="00240E36">
        <w:t>The inter-cell beam management procedures are equally, or more, applicable to FR1, and it is important to consider the UE capabilities related to TCI states and L1-RSRP measurements also for FR1.</w:t>
      </w:r>
      <w:bookmarkEnd w:id="19"/>
      <w:bookmarkEnd w:id="20"/>
      <w:r w:rsidRPr="00240E36">
        <w:t xml:space="preserve"> </w:t>
      </w:r>
    </w:p>
    <w:p w14:paraId="2F7865A5" w14:textId="0B68EA34" w:rsidR="004A64D3" w:rsidRPr="00240E36" w:rsidRDefault="00A56216" w:rsidP="00A123D9">
      <w:pPr>
        <w:pStyle w:val="BodyText"/>
      </w:pPr>
      <w:r w:rsidRPr="00240E36">
        <w:t>This also means that the UE capabilities must allow that the solutions can be applied in practice also for FR1. For instance, the value of the solutions would be reduced if a UE supports a small number of TCI states.</w:t>
      </w:r>
    </w:p>
    <w:p w14:paraId="1FE93548" w14:textId="4EB25627" w:rsidR="00A123D9" w:rsidRPr="00A73986" w:rsidRDefault="00A123D9" w:rsidP="00A123D9">
      <w:pPr>
        <w:pStyle w:val="Heading2"/>
      </w:pPr>
      <w:r>
        <w:lastRenderedPageBreak/>
        <w:t>2.3</w:t>
      </w:r>
      <w:r>
        <w:tab/>
        <w:t>A unified TCI framework and optimized common beam</w:t>
      </w:r>
    </w:p>
    <w:p w14:paraId="50ADCA52" w14:textId="1A50077B" w:rsidR="00A123D9" w:rsidRPr="00240E36" w:rsidRDefault="00A123D9" w:rsidP="00A123D9">
      <w:pPr>
        <w:pStyle w:val="BodyText"/>
      </w:pPr>
      <w:r w:rsidRPr="00240E36">
        <w:t xml:space="preserve">DL beam management builds on the concept of TCI states, as the single tool to convey the QCL </w:t>
      </w:r>
      <w:proofErr w:type="spellStart"/>
      <w:r w:rsidRPr="00240E36">
        <w:rPr>
          <w:lang w:val="en-US"/>
        </w:rPr>
        <w:t>TypeD</w:t>
      </w:r>
      <w:proofErr w:type="spellEnd"/>
      <w:r w:rsidRPr="00240E36">
        <w:t xml:space="preserve"> information used by the UE to adjust its Rx beam. All DL reference signals (CSI-RS, PDCCH/PDSCH DMRS) make direct use of the same set of TCI states.</w:t>
      </w:r>
    </w:p>
    <w:p w14:paraId="36378A59" w14:textId="0B3BA96B" w:rsidR="00A123D9" w:rsidRPr="00240E36" w:rsidRDefault="00A123D9" w:rsidP="00A123D9">
      <w:pPr>
        <w:pStyle w:val="BodyText"/>
      </w:pPr>
      <w:r w:rsidRPr="00240E36">
        <w:t xml:space="preserve">The DL TCI framework is quite flexible: it is possible to operate the DL using different TCI states for PDCCH, PDSCH and the different types of CSI-RS. In the most common case however, the same TCI state is used for PDCCH and PDSCH, </w:t>
      </w:r>
      <w:proofErr w:type="gramStart"/>
      <w:r w:rsidRPr="00240E36">
        <w:t>and also</w:t>
      </w:r>
      <w:proofErr w:type="gramEnd"/>
      <w:r w:rsidRPr="00240E36">
        <w:t xml:space="preserve"> for CSI-RS for CSI acquisition. </w:t>
      </w:r>
      <w:r w:rsidRPr="00024151">
        <w:rPr>
          <w:lang w:val="en-US"/>
        </w:rPr>
        <w:t xml:space="preserve">The specification defines several defaults regarding QCL </w:t>
      </w:r>
      <w:proofErr w:type="spellStart"/>
      <w:r w:rsidRPr="00240E36">
        <w:rPr>
          <w:lang w:val="en-US"/>
        </w:rPr>
        <w:t>TypeD</w:t>
      </w:r>
      <w:proofErr w:type="spellEnd"/>
      <w:r w:rsidRPr="00024151">
        <w:rPr>
          <w:lang w:val="en-US"/>
        </w:rPr>
        <w:t xml:space="preserve"> assumptions, but the defaults are not fully aligned, and not implemented for all cases. </w:t>
      </w:r>
      <w:r w:rsidRPr="00240E36">
        <w:t>For instance, there is no default beam for aperiodic CSI-RS in general. The rules for the default beam are also unnecessarily complicated:</w:t>
      </w:r>
    </w:p>
    <w:p w14:paraId="0BC35B04" w14:textId="77777777" w:rsidR="00A123D9" w:rsidRPr="00240E36" w:rsidRDefault="00A123D9" w:rsidP="00A123D9">
      <w:pPr>
        <w:pStyle w:val="Observation"/>
        <w:overflowPunct w:val="0"/>
        <w:autoSpaceDE w:val="0"/>
        <w:autoSpaceDN w:val="0"/>
        <w:adjustRightInd w:val="0"/>
        <w:spacing w:line="240" w:lineRule="auto"/>
        <w:textAlignment w:val="baseline"/>
      </w:pPr>
      <w:bookmarkStart w:id="21" w:name="_Toc47708503"/>
      <w:r w:rsidRPr="00240E36">
        <w:t>The rules for the default beam are not fully aligned, and not implemented for all cases.</w:t>
      </w:r>
      <w:bookmarkEnd w:id="21"/>
    </w:p>
    <w:p w14:paraId="60876465" w14:textId="0947EFBC" w:rsidR="00A123D9" w:rsidRPr="00240E36" w:rsidRDefault="00A123D9" w:rsidP="00A123D9">
      <w:pPr>
        <w:pStyle w:val="BodyText"/>
      </w:pPr>
      <w:r w:rsidRPr="00240E36">
        <w:t>As common beam operation is the by far most common deployment, one of the focus points for the Rel-17 should be to implement a complete common beam solution, with aligned and simple rules</w:t>
      </w:r>
      <w:r w:rsidR="004D6F81" w:rsidRPr="00240E36">
        <w:t xml:space="preserve">. Such a common beam operation should also </w:t>
      </w:r>
      <w:proofErr w:type="gramStart"/>
      <w:r w:rsidR="004D6F81" w:rsidRPr="00240E36">
        <w:t>take into account</w:t>
      </w:r>
      <w:proofErr w:type="gramEnd"/>
      <w:r w:rsidR="004D6F81" w:rsidRPr="00240E36">
        <w:t xml:space="preserve"> restrictions in the UE that occurs due to the use of common hardware for intra-band and in some cases inter-band carrier aggregation</w:t>
      </w:r>
    </w:p>
    <w:p w14:paraId="4FD1C0A1" w14:textId="60DAF83F" w:rsidR="004D6F81" w:rsidRPr="00240E36" w:rsidRDefault="00A123D9" w:rsidP="004D6F81">
      <w:pPr>
        <w:pStyle w:val="Proposal"/>
        <w:overflowPunct w:val="0"/>
        <w:autoSpaceDE w:val="0"/>
        <w:autoSpaceDN w:val="0"/>
        <w:adjustRightInd w:val="0"/>
        <w:spacing w:line="240" w:lineRule="auto"/>
        <w:textAlignment w:val="baseline"/>
      </w:pPr>
      <w:bookmarkStart w:id="22" w:name="_Toc47708510"/>
      <w:r w:rsidRPr="00240E36">
        <w:t>Implement complete support for common beam operation</w:t>
      </w:r>
      <w:r w:rsidR="004D6F81" w:rsidRPr="00240E36">
        <w:t xml:space="preserve"> that </w:t>
      </w:r>
      <w:r w:rsidR="004A64D3" w:rsidRPr="00240E36">
        <w:t>considers</w:t>
      </w:r>
      <w:r w:rsidR="004D6F81" w:rsidRPr="00240E36">
        <w:t xml:space="preserve"> restrictions in the UE hardware relevant for intra-band and inter-band carrier aggregation</w:t>
      </w:r>
      <w:r w:rsidRPr="00240E36">
        <w:t>.</w:t>
      </w:r>
      <w:bookmarkEnd w:id="22"/>
      <w:r w:rsidRPr="00240E36">
        <w:t xml:space="preserve"> </w:t>
      </w:r>
    </w:p>
    <w:p w14:paraId="5A7D5E29" w14:textId="77777777" w:rsidR="00A123D9" w:rsidRPr="00240E36" w:rsidRDefault="00A123D9" w:rsidP="00A123D9">
      <w:pPr>
        <w:pStyle w:val="BodyText"/>
      </w:pPr>
      <w:r w:rsidRPr="00240E36">
        <w:t xml:space="preserve">UL beam management builds on the concept of spatial relations, but its usage varies for different UL signals: SRS and PUCCH uses different types of spatial relations, configured in different RRC IEs, and signaled in different ways. Having different RRC IEs is particularly strange, since the content is essentially the same: it is a reference signal. PUSCH does not use spatial relations explicitly at all – the PUSCH transmissions are handled using an associated SRS. </w:t>
      </w:r>
    </w:p>
    <w:p w14:paraId="16922EC7" w14:textId="77777777" w:rsidR="00A123D9" w:rsidRPr="00240E36" w:rsidRDefault="00A123D9" w:rsidP="00A123D9">
      <w:pPr>
        <w:pStyle w:val="BodyText"/>
      </w:pPr>
      <w:r w:rsidRPr="00240E36">
        <w:t>One of the targets of the Rel-17 multi-beam enhancements is to streamline the control of the spatial properties of the UL transmissions. This would mean that we introduce an UL TCI, which is a direct counterpart to the DL TCI. Such an UL TCI would be used as the direct source for the spatial properties of all transmitted UL signals: SRS, PUCCH and PUSCH:</w:t>
      </w:r>
    </w:p>
    <w:p w14:paraId="011940A5" w14:textId="77777777" w:rsidR="00A123D9" w:rsidRPr="00240E36" w:rsidRDefault="00A123D9" w:rsidP="00A123D9">
      <w:pPr>
        <w:pStyle w:val="Proposal"/>
        <w:overflowPunct w:val="0"/>
        <w:autoSpaceDE w:val="0"/>
        <w:autoSpaceDN w:val="0"/>
        <w:adjustRightInd w:val="0"/>
        <w:spacing w:line="240" w:lineRule="auto"/>
        <w:textAlignment w:val="baseline"/>
      </w:pPr>
      <w:bookmarkStart w:id="23" w:name="_Toc47708511"/>
      <w:r w:rsidRPr="00240E36">
        <w:t>Introduce an UL TCI which could serve as a direct source for the spatial properties of all UL signals: SRS, PUCCH and PUSCH.</w:t>
      </w:r>
      <w:bookmarkEnd w:id="23"/>
    </w:p>
    <w:p w14:paraId="40D19DD5" w14:textId="41E8B6C5" w:rsidR="00A123D9" w:rsidRPr="00240E36" w:rsidRDefault="00A123D9" w:rsidP="00A123D9">
      <w:pPr>
        <w:pStyle w:val="BodyText"/>
      </w:pPr>
      <w:r w:rsidRPr="00240E36">
        <w:t>It is important that common beam operation is efficiently supported also across UL and DL. The configuration and application of the UL TCI is thus an add-on that can be configured if needed</w:t>
      </w:r>
      <w:r w:rsidR="006073F1" w:rsidRPr="00240E36">
        <w:t>:</w:t>
      </w:r>
    </w:p>
    <w:p w14:paraId="17B86A74" w14:textId="40622EB4" w:rsidR="006073F1" w:rsidRPr="00240E36" w:rsidRDefault="006073F1" w:rsidP="006073F1">
      <w:pPr>
        <w:pStyle w:val="Proposal"/>
      </w:pPr>
      <w:bookmarkStart w:id="24" w:name="_Toc47708512"/>
      <w:r w:rsidRPr="00240E36">
        <w:t>UL TCI is optionally configured.</w:t>
      </w:r>
      <w:bookmarkEnd w:id="24"/>
    </w:p>
    <w:p w14:paraId="19950ED4" w14:textId="77777777" w:rsidR="006073F1" w:rsidRPr="00240E36" w:rsidRDefault="00AB7ADB" w:rsidP="00AB7ADB">
      <w:pPr>
        <w:pStyle w:val="BodyText"/>
      </w:pPr>
      <w:r w:rsidRPr="00240E36">
        <w:t>Such an UL TCI would need to contain a (pointer to</w:t>
      </w:r>
      <w:r w:rsidR="006073F1" w:rsidRPr="00240E36">
        <w:t xml:space="preserve"> a</w:t>
      </w:r>
      <w:r w:rsidRPr="00240E36">
        <w:t xml:space="preserve">) reference signal, an SSB, a CSI-RS or an SRS. </w:t>
      </w:r>
      <w:r w:rsidR="006073F1" w:rsidRPr="00240E36">
        <w:t>Since CSI-RS and SRS are configured per BWP, a reference to the correct BWP must also be included.</w:t>
      </w:r>
      <w:r w:rsidRPr="00240E36">
        <w:t xml:space="preserve"> </w:t>
      </w:r>
      <w:r w:rsidR="006073F1" w:rsidRPr="00240E36">
        <w:t>Since RSs in other serving cells can be used as spatial references, there must be a reference to the correct serving cell as well.</w:t>
      </w:r>
    </w:p>
    <w:p w14:paraId="71CB59E8" w14:textId="77777777" w:rsidR="000375CC" w:rsidRPr="00240E36" w:rsidRDefault="006073F1" w:rsidP="00AB7ADB">
      <w:pPr>
        <w:pStyle w:val="BodyText"/>
      </w:pPr>
      <w:r w:rsidRPr="00240E36">
        <w:t xml:space="preserve">In case the UL TCI is a DL RS, it makes a lot of sense that the UE uses that same RS as pathloss reference RS for UL power control. But if the UL TCI is an SRS, a separate DL RS needs to be provided. </w:t>
      </w:r>
    </w:p>
    <w:p w14:paraId="37EE6FC9" w14:textId="55604066" w:rsidR="000375CC" w:rsidRPr="00240E36" w:rsidRDefault="000375CC" w:rsidP="00AB7ADB">
      <w:pPr>
        <w:pStyle w:val="BodyText"/>
      </w:pPr>
      <w:r w:rsidRPr="00240E36">
        <w:t>To support inter-cell beam management, the UL TCI must also include a PCI.</w:t>
      </w:r>
    </w:p>
    <w:p w14:paraId="0F2219BE" w14:textId="16866137" w:rsidR="006073F1" w:rsidRPr="00024151" w:rsidRDefault="006073F1" w:rsidP="00AB7ADB">
      <w:pPr>
        <w:pStyle w:val="BodyText"/>
        <w:rPr>
          <w:lang w:val="en-US"/>
        </w:rPr>
      </w:pPr>
      <w:r w:rsidRPr="00024151">
        <w:rPr>
          <w:lang w:val="en-US"/>
        </w:rPr>
        <w:t>The contents are summarized in</w:t>
      </w:r>
      <w:r w:rsidR="000375CC" w:rsidRPr="00024151">
        <w:rPr>
          <w:lang w:val="en-US"/>
        </w:rPr>
        <w:t xml:space="preserve"> </w:t>
      </w:r>
      <w:r w:rsidR="000375CC">
        <w:fldChar w:fldCharType="begin"/>
      </w:r>
      <w:r w:rsidR="000375CC" w:rsidRPr="00024151">
        <w:rPr>
          <w:lang w:val="en-US"/>
        </w:rPr>
        <w:instrText xml:space="preserve"> REF _Ref47361901 \h </w:instrText>
      </w:r>
      <w:r w:rsidR="000375CC">
        <w:fldChar w:fldCharType="separate"/>
      </w:r>
      <w:r w:rsidR="000375CC" w:rsidRPr="00024151">
        <w:rPr>
          <w:lang w:val="en-US"/>
        </w:rPr>
        <w:t>Table 1</w:t>
      </w:r>
      <w:r w:rsidR="000375CC">
        <w:fldChar w:fldCharType="end"/>
      </w:r>
      <w:r w:rsidR="000375CC" w:rsidRPr="00024151">
        <w:rPr>
          <w:lang w:val="en-US"/>
        </w:rPr>
        <w:t>.</w:t>
      </w:r>
      <w:r w:rsidRPr="00024151">
        <w:rPr>
          <w:lang w:val="en-US"/>
        </w:rPr>
        <w:t xml:space="preserve"> </w:t>
      </w:r>
    </w:p>
    <w:p w14:paraId="543F71F9" w14:textId="08B78D1F" w:rsidR="006073F1" w:rsidRPr="00240E36" w:rsidRDefault="006073F1" w:rsidP="006073F1">
      <w:pPr>
        <w:pStyle w:val="Caption"/>
      </w:pPr>
      <w:bookmarkStart w:id="25" w:name="_Ref47361901"/>
      <w:r w:rsidRPr="00240E36">
        <w:t xml:space="preserve">Table </w:t>
      </w:r>
      <w:r>
        <w:fldChar w:fldCharType="begin"/>
      </w:r>
      <w:r w:rsidRPr="00240E36">
        <w:instrText>SEQ Table \* ARABIC</w:instrText>
      </w:r>
      <w:r>
        <w:fldChar w:fldCharType="separate"/>
      </w:r>
      <w:r w:rsidRPr="00240E36">
        <w:t>1</w:t>
      </w:r>
      <w:r>
        <w:fldChar w:fldCharType="end"/>
      </w:r>
      <w:bookmarkEnd w:id="25"/>
      <w:r w:rsidRPr="00240E36">
        <w:t>: The contents of an UL TCI.</w:t>
      </w:r>
    </w:p>
    <w:tbl>
      <w:tblPr>
        <w:tblStyle w:val="TableGrid"/>
        <w:tblW w:w="0" w:type="auto"/>
        <w:tblLook w:val="04A0" w:firstRow="1" w:lastRow="0" w:firstColumn="1" w:lastColumn="0" w:noHBand="0" w:noVBand="1"/>
      </w:tblPr>
      <w:tblGrid>
        <w:gridCol w:w="1413"/>
        <w:gridCol w:w="4235"/>
        <w:gridCol w:w="3981"/>
      </w:tblGrid>
      <w:tr w:rsidR="000375CC" w14:paraId="00936276" w14:textId="0D99E037" w:rsidTr="000375CC">
        <w:trPr>
          <w:trHeight w:val="217"/>
        </w:trPr>
        <w:tc>
          <w:tcPr>
            <w:tcW w:w="1413" w:type="dxa"/>
          </w:tcPr>
          <w:p w14:paraId="00738D45" w14:textId="76F1A4C7" w:rsidR="000375CC" w:rsidRDefault="000375CC" w:rsidP="006073F1">
            <w:r>
              <w:t>Field</w:t>
            </w:r>
          </w:p>
        </w:tc>
        <w:tc>
          <w:tcPr>
            <w:tcW w:w="4235" w:type="dxa"/>
          </w:tcPr>
          <w:p w14:paraId="3AEBBBE0" w14:textId="5B95AD65" w:rsidR="000375CC" w:rsidRDefault="000375CC" w:rsidP="006073F1">
            <w:r>
              <w:t>Possible values</w:t>
            </w:r>
          </w:p>
        </w:tc>
        <w:tc>
          <w:tcPr>
            <w:tcW w:w="3981" w:type="dxa"/>
          </w:tcPr>
          <w:p w14:paraId="633B4517" w14:textId="77777777" w:rsidR="000375CC" w:rsidRDefault="000375CC" w:rsidP="006073F1"/>
        </w:tc>
      </w:tr>
      <w:tr w:rsidR="000375CC" w:rsidRPr="006073F1" w14:paraId="1F90ABEA" w14:textId="1D38896E" w:rsidTr="000375CC">
        <w:tc>
          <w:tcPr>
            <w:tcW w:w="1413" w:type="dxa"/>
          </w:tcPr>
          <w:p w14:paraId="576B7D08" w14:textId="6D845891" w:rsidR="000375CC" w:rsidRDefault="000375CC" w:rsidP="006073F1">
            <w:r>
              <w:lastRenderedPageBreak/>
              <w:t>RS</w:t>
            </w:r>
          </w:p>
        </w:tc>
        <w:tc>
          <w:tcPr>
            <w:tcW w:w="4235" w:type="dxa"/>
          </w:tcPr>
          <w:p w14:paraId="4722DD4D" w14:textId="680C016C" w:rsidR="000375CC" w:rsidRDefault="000375CC" w:rsidP="006073F1">
            <w:r>
              <w:t>SSB, DL BWP+CSI-RS, UL BWP+SRS</w:t>
            </w:r>
          </w:p>
        </w:tc>
        <w:tc>
          <w:tcPr>
            <w:tcW w:w="3981" w:type="dxa"/>
          </w:tcPr>
          <w:p w14:paraId="1CFD1256" w14:textId="1F1E2979" w:rsidR="000375CC" w:rsidRDefault="000375CC" w:rsidP="006073F1">
            <w:r>
              <w:t>Mandatory</w:t>
            </w:r>
          </w:p>
        </w:tc>
      </w:tr>
      <w:tr w:rsidR="000375CC" w14:paraId="35C98EB1" w14:textId="625682B1" w:rsidTr="000375CC">
        <w:tc>
          <w:tcPr>
            <w:tcW w:w="1413" w:type="dxa"/>
          </w:tcPr>
          <w:p w14:paraId="41E4D580" w14:textId="734A0DA1" w:rsidR="000375CC" w:rsidRDefault="000375CC" w:rsidP="006073F1">
            <w:r>
              <w:t>Serving cell</w:t>
            </w:r>
          </w:p>
        </w:tc>
        <w:tc>
          <w:tcPr>
            <w:tcW w:w="4235" w:type="dxa"/>
          </w:tcPr>
          <w:p w14:paraId="4D6EFC15" w14:textId="6A0ADC98" w:rsidR="000375CC" w:rsidRDefault="000375CC" w:rsidP="006073F1">
            <w:r>
              <w:t>0-31</w:t>
            </w:r>
          </w:p>
        </w:tc>
        <w:tc>
          <w:tcPr>
            <w:tcW w:w="3981" w:type="dxa"/>
          </w:tcPr>
          <w:p w14:paraId="2BE09A5E" w14:textId="6597C42F" w:rsidR="000375CC" w:rsidRDefault="000375CC" w:rsidP="006073F1">
            <w:r>
              <w:t>Optional</w:t>
            </w:r>
          </w:p>
        </w:tc>
      </w:tr>
      <w:tr w:rsidR="000375CC" w:rsidRPr="006073F1" w14:paraId="0AFDB65C" w14:textId="6F8D4EE9" w:rsidTr="000375CC">
        <w:tc>
          <w:tcPr>
            <w:tcW w:w="1413" w:type="dxa"/>
          </w:tcPr>
          <w:p w14:paraId="4CD8E7B0" w14:textId="0C0B9D3E" w:rsidR="000375CC" w:rsidRDefault="000375CC" w:rsidP="006073F1">
            <w:r>
              <w:t>DL RS</w:t>
            </w:r>
          </w:p>
        </w:tc>
        <w:tc>
          <w:tcPr>
            <w:tcW w:w="4235" w:type="dxa"/>
          </w:tcPr>
          <w:p w14:paraId="1D84CEC9" w14:textId="5E3B277A" w:rsidR="000375CC" w:rsidRPr="00240E36" w:rsidRDefault="000375CC" w:rsidP="006073F1">
            <w:r w:rsidRPr="00240E36">
              <w:t>SSB, DL BWP+CSI-RS</w:t>
            </w:r>
          </w:p>
        </w:tc>
        <w:tc>
          <w:tcPr>
            <w:tcW w:w="3981" w:type="dxa"/>
          </w:tcPr>
          <w:p w14:paraId="1B192833" w14:textId="47D4825B" w:rsidR="000375CC" w:rsidRDefault="000375CC" w:rsidP="006073F1">
            <w:r>
              <w:t>Optional</w:t>
            </w:r>
          </w:p>
        </w:tc>
      </w:tr>
      <w:tr w:rsidR="000375CC" w14:paraId="10D59CCA" w14:textId="386CAE59" w:rsidTr="000375CC">
        <w:tc>
          <w:tcPr>
            <w:tcW w:w="1413" w:type="dxa"/>
          </w:tcPr>
          <w:p w14:paraId="443DB9CF" w14:textId="733C74FC" w:rsidR="000375CC" w:rsidRDefault="000375CC" w:rsidP="006073F1">
            <w:r>
              <w:t>PCI</w:t>
            </w:r>
          </w:p>
        </w:tc>
        <w:tc>
          <w:tcPr>
            <w:tcW w:w="4235" w:type="dxa"/>
          </w:tcPr>
          <w:p w14:paraId="291B2134" w14:textId="1ACD414E" w:rsidR="000375CC" w:rsidRDefault="000375CC" w:rsidP="006073F1">
            <w:r>
              <w:t>0-1007</w:t>
            </w:r>
          </w:p>
        </w:tc>
        <w:tc>
          <w:tcPr>
            <w:tcW w:w="3981" w:type="dxa"/>
          </w:tcPr>
          <w:p w14:paraId="3C694BA6" w14:textId="22056553" w:rsidR="000375CC" w:rsidRDefault="000375CC" w:rsidP="006073F1">
            <w:r>
              <w:t>Optional</w:t>
            </w:r>
          </w:p>
        </w:tc>
      </w:tr>
    </w:tbl>
    <w:p w14:paraId="4CCBC6AB" w14:textId="77777777" w:rsidR="006073F1" w:rsidRDefault="006073F1" w:rsidP="00AB7ADB">
      <w:pPr>
        <w:pStyle w:val="BodyText"/>
      </w:pPr>
    </w:p>
    <w:p w14:paraId="2848BD29" w14:textId="77777777" w:rsidR="00165834" w:rsidRPr="00024151" w:rsidRDefault="00165834" w:rsidP="00AB7ADB">
      <w:pPr>
        <w:pStyle w:val="BodyText"/>
        <w:rPr>
          <w:lang w:val="en-US"/>
        </w:rPr>
      </w:pPr>
      <w:r w:rsidRPr="00240E36">
        <w:t xml:space="preserve">One option would be to introduce UL TCI as a new RRC IE. </w:t>
      </w:r>
      <w:r w:rsidRPr="00024151">
        <w:rPr>
          <w:lang w:val="en-US"/>
        </w:rPr>
        <w:t xml:space="preserve">This would then contain the fields in </w:t>
      </w:r>
      <w:r>
        <w:fldChar w:fldCharType="begin"/>
      </w:r>
      <w:r w:rsidRPr="00024151">
        <w:rPr>
          <w:lang w:val="en-US"/>
        </w:rPr>
        <w:instrText xml:space="preserve"> REF _Ref47361901 \h </w:instrText>
      </w:r>
      <w:r>
        <w:fldChar w:fldCharType="separate"/>
      </w:r>
      <w:r w:rsidRPr="00024151">
        <w:rPr>
          <w:lang w:val="en-US"/>
        </w:rPr>
        <w:t>Table 1</w:t>
      </w:r>
      <w:r>
        <w:fldChar w:fldCharType="end"/>
      </w:r>
      <w:r w:rsidRPr="00024151">
        <w:rPr>
          <w:lang w:val="en-US"/>
        </w:rPr>
        <w:t xml:space="preserve">. </w:t>
      </w:r>
    </w:p>
    <w:p w14:paraId="27030662" w14:textId="173A1F56" w:rsidR="006073F1" w:rsidRPr="00024151" w:rsidRDefault="00165834" w:rsidP="00AB7ADB">
      <w:pPr>
        <w:pStyle w:val="BodyText"/>
        <w:rPr>
          <w:lang w:val="en-US"/>
        </w:rPr>
      </w:pPr>
      <w:r w:rsidRPr="00240E36">
        <w:t xml:space="preserve">Another option would be to introduce one TCI to be used both for UL and DL. </w:t>
      </w:r>
      <w:r w:rsidRPr="00024151">
        <w:rPr>
          <w:lang w:val="en-US"/>
        </w:rPr>
        <w:t xml:space="preserve">If the fields listed in </w:t>
      </w:r>
      <w:r>
        <w:fldChar w:fldCharType="begin"/>
      </w:r>
      <w:r w:rsidRPr="00024151">
        <w:rPr>
          <w:lang w:val="en-US"/>
        </w:rPr>
        <w:instrText xml:space="preserve"> REF _Ref47361901 \h </w:instrText>
      </w:r>
      <w:r>
        <w:fldChar w:fldCharType="separate"/>
      </w:r>
      <w:r w:rsidRPr="00024151">
        <w:rPr>
          <w:lang w:val="en-US"/>
        </w:rPr>
        <w:t>Table 1</w:t>
      </w:r>
      <w:r>
        <w:fldChar w:fldCharType="end"/>
      </w:r>
      <w:r w:rsidRPr="00024151">
        <w:rPr>
          <w:lang w:val="en-US"/>
        </w:rPr>
        <w:t xml:space="preserve"> are compared to the contents of the DL TCI, there are some similarities and some differences:</w:t>
      </w:r>
    </w:p>
    <w:p w14:paraId="20C27AF0" w14:textId="4EFC340D" w:rsidR="00165834" w:rsidRPr="00240E36" w:rsidRDefault="00165834" w:rsidP="00165834">
      <w:pPr>
        <w:pStyle w:val="BodyText"/>
        <w:numPr>
          <w:ilvl w:val="0"/>
          <w:numId w:val="31"/>
        </w:numPr>
      </w:pPr>
      <w:r w:rsidRPr="00240E36">
        <w:t>The DL TCI does not include SRS (or a reference to an UL BWP)</w:t>
      </w:r>
    </w:p>
    <w:p w14:paraId="649EA11D" w14:textId="4852FA39" w:rsidR="00165834" w:rsidRPr="00240E36" w:rsidRDefault="00165834" w:rsidP="00165834">
      <w:pPr>
        <w:pStyle w:val="BodyText"/>
        <w:numPr>
          <w:ilvl w:val="0"/>
          <w:numId w:val="31"/>
        </w:numPr>
      </w:pPr>
      <w:r w:rsidRPr="00240E36">
        <w:t>The DL TCI does not include any separate definition of a pathloss reference RS</w:t>
      </w:r>
    </w:p>
    <w:p w14:paraId="6FB86AA1" w14:textId="2FF4BAD5" w:rsidR="00AB7ADB" w:rsidRPr="00240E36" w:rsidRDefault="006073F1" w:rsidP="00AB7ADB">
      <w:pPr>
        <w:pStyle w:val="BodyText"/>
      </w:pPr>
      <w:r w:rsidRPr="00240E36">
        <w:t xml:space="preserve"> </w:t>
      </w:r>
      <w:r w:rsidR="00165834" w:rsidRPr="00240E36">
        <w:t>A unified TCI would then have to contain the field in a DL TCI and the information related to an SRS</w:t>
      </w:r>
      <w:r w:rsidR="008C676F" w:rsidRPr="00240E36">
        <w:t xml:space="preserve"> listed above. On one hand it is nice to use the same quantity for two purposes. On the other hand, this would require a significant extension of the Rel-16 TCI state, which would only be useful if the separate UL TCI is </w:t>
      </w:r>
      <w:proofErr w:type="gramStart"/>
      <w:r w:rsidR="008C676F" w:rsidRPr="00240E36">
        <w:t>actually used</w:t>
      </w:r>
      <w:proofErr w:type="gramEnd"/>
      <w:r w:rsidR="008C676F" w:rsidRPr="00240E36">
        <w:t>.</w:t>
      </w:r>
    </w:p>
    <w:p w14:paraId="4C6510FE" w14:textId="018634D7" w:rsidR="00A123D9" w:rsidRPr="00240E36" w:rsidRDefault="00A123D9" w:rsidP="00943F8E">
      <w:pPr>
        <w:pStyle w:val="BodyText"/>
      </w:pPr>
      <w:r w:rsidRPr="00240E36">
        <w:t xml:space="preserve">The prime use case for UL TCI is to alleviate the issues related to maximum permissible emission (MPE). In some cases, the UE may be required to reduce </w:t>
      </w:r>
      <w:proofErr w:type="gramStart"/>
      <w:r w:rsidRPr="00240E36">
        <w:t>its</w:t>
      </w:r>
      <w:proofErr w:type="gramEnd"/>
      <w:r w:rsidRPr="00240E36">
        <w:t xml:space="preserve"> transmit power on some of its antennas. If the gNB is aware of this reduction, it may choose to schedule an UL transmission on another antenna, where the full transmit power can be used.</w:t>
      </w:r>
    </w:p>
    <w:p w14:paraId="588A7168" w14:textId="77777777" w:rsidR="00EA6AC7" w:rsidRDefault="00EA6AC7" w:rsidP="00EA6AC7">
      <w:pPr>
        <w:pStyle w:val="Heading2"/>
      </w:pPr>
      <w:r>
        <w:t xml:space="preserve">2.4 </w:t>
      </w:r>
      <w:r>
        <w:tab/>
        <w:t>Considerations on evaluations for multi-beam</w:t>
      </w:r>
    </w:p>
    <w:p w14:paraId="15196954" w14:textId="6224A076" w:rsidR="00A123D9" w:rsidRDefault="00EA0D23" w:rsidP="00943F8E">
      <w:pPr>
        <w:pStyle w:val="BodyText"/>
        <w:rPr>
          <w:lang w:val="en-GB"/>
        </w:rPr>
      </w:pPr>
      <w:r>
        <w:rPr>
          <w:lang w:val="en-GB"/>
        </w:rPr>
        <w:t xml:space="preserve">During the summer, there has been an email discussion on evaluation assumptions for the </w:t>
      </w:r>
      <w:proofErr w:type="spellStart"/>
      <w:r>
        <w:rPr>
          <w:lang w:val="en-GB"/>
        </w:rPr>
        <w:t>feMIMO</w:t>
      </w:r>
      <w:proofErr w:type="spellEnd"/>
      <w:r>
        <w:rPr>
          <w:lang w:val="en-GB"/>
        </w:rPr>
        <w:t xml:space="preserve"> WID. The outcome of the email discussion is summarized in the appendix. Here we provide some proposals on the EVMs.</w:t>
      </w:r>
    </w:p>
    <w:p w14:paraId="322CB4FF" w14:textId="2978E2E7" w:rsidR="00EA0D23" w:rsidRDefault="00EB36D7" w:rsidP="00EB36D7">
      <w:pPr>
        <w:pStyle w:val="Heading2"/>
      </w:pPr>
      <w:r>
        <w:t>2.4.1</w:t>
      </w:r>
      <w:r>
        <w:tab/>
        <w:t xml:space="preserve">UE </w:t>
      </w:r>
      <w:r w:rsidR="005B05A1">
        <w:t xml:space="preserve">and panel </w:t>
      </w:r>
      <w:r>
        <w:t>orientation</w:t>
      </w:r>
    </w:p>
    <w:p w14:paraId="540AFDE0" w14:textId="39930313" w:rsidR="00BE251E" w:rsidRDefault="00EB36D7" w:rsidP="00EB36D7">
      <w:pPr>
        <w:pStyle w:val="BodyText"/>
        <w:rPr>
          <w:lang w:val="en-GB"/>
        </w:rPr>
      </w:pPr>
      <w:r>
        <w:rPr>
          <w:lang w:val="en-GB"/>
        </w:rPr>
        <w:t xml:space="preserve">The UE will have three antenna panels, located on the left, right and back side of the UE. It is interesting to note that the layout is not symmetric with respect to UE orientation – the UE orientation will impact the result. </w:t>
      </w:r>
      <w:proofErr w:type="gramStart"/>
      <w:r>
        <w:rPr>
          <w:lang w:val="en-GB"/>
        </w:rPr>
        <w:t>In particular, it</w:t>
      </w:r>
      <w:proofErr w:type="gramEnd"/>
      <w:r>
        <w:rPr>
          <w:lang w:val="en-GB"/>
        </w:rPr>
        <w:t xml:space="preserve"> would not seem appropriate to put the UE on the back, since the back panel would be useless.</w:t>
      </w:r>
      <w:r w:rsidR="00BE251E">
        <w:rPr>
          <w:lang w:val="en-GB"/>
        </w:rPr>
        <w:t xml:space="preserve"> Since it is relevant to assume that the assumption on the UE orientation will impact the results significantly (especially for the evaluations related to panel blockage), we propose the following simple model for UE orientation:</w:t>
      </w:r>
    </w:p>
    <w:p w14:paraId="70E88C50" w14:textId="58441C58" w:rsidR="00BE251E" w:rsidRDefault="00BE251E" w:rsidP="00BE251E">
      <w:pPr>
        <w:pStyle w:val="Proposal"/>
        <w:rPr>
          <w:lang w:val="en-GB"/>
        </w:rPr>
      </w:pPr>
      <w:bookmarkStart w:id="26" w:name="_Toc47708513"/>
      <w:r>
        <w:rPr>
          <w:lang w:val="en-GB"/>
        </w:rPr>
        <w:t>The UE orientation is vertical, with a random orientation in azimuth.</w:t>
      </w:r>
      <w:bookmarkEnd w:id="26"/>
    </w:p>
    <w:p w14:paraId="76BD765D" w14:textId="77777777" w:rsidR="00BE251E" w:rsidRDefault="00BE251E" w:rsidP="00BE251E">
      <w:pPr>
        <w:pStyle w:val="BodyText"/>
        <w:rPr>
          <w:lang w:val="en-GB"/>
        </w:rPr>
      </w:pPr>
      <w:r>
        <w:rPr>
          <w:lang w:val="en-GB"/>
        </w:rPr>
        <w:t xml:space="preserve">In other words, there is no </w:t>
      </w:r>
      <w:proofErr w:type="spellStart"/>
      <w:r>
        <w:rPr>
          <w:lang w:val="en-GB"/>
        </w:rPr>
        <w:t>downtilt</w:t>
      </w:r>
      <w:proofErr w:type="spellEnd"/>
      <w:r>
        <w:rPr>
          <w:lang w:val="en-GB"/>
        </w:rPr>
        <w:t xml:space="preserve"> for any of the UE panels.</w:t>
      </w:r>
    </w:p>
    <w:p w14:paraId="4DF50BE5" w14:textId="3C7903CF" w:rsidR="005B05A1" w:rsidRDefault="005B05A1" w:rsidP="00BE251E">
      <w:pPr>
        <w:pStyle w:val="BodyText"/>
        <w:rPr>
          <w:lang w:val="en-GB"/>
        </w:rPr>
      </w:pPr>
      <w:r>
        <w:rPr>
          <w:lang w:val="en-GB"/>
        </w:rPr>
        <w:t>We also note that in the baseline assumption, the layout for all the panels are identical. This would mean that the panels are all “tall”. Perhaps a more reasonable assumption for the back panel is to have a “wide” panel. We propose to clarify this during the meeting:</w:t>
      </w:r>
    </w:p>
    <w:p w14:paraId="0993EBC7" w14:textId="1622742A" w:rsidR="005B05A1" w:rsidRDefault="005B05A1" w:rsidP="005B05A1">
      <w:pPr>
        <w:pStyle w:val="Proposal"/>
        <w:rPr>
          <w:lang w:val="en-GB"/>
        </w:rPr>
      </w:pPr>
      <w:bookmarkStart w:id="27" w:name="_Toc47708514"/>
      <w:r>
        <w:rPr>
          <w:lang w:val="en-GB"/>
        </w:rPr>
        <w:t>Confirm the orientation for each UE antenna panel once the UE orientation is clarified.</w:t>
      </w:r>
      <w:bookmarkEnd w:id="27"/>
    </w:p>
    <w:p w14:paraId="2F780CB5" w14:textId="1E4FB8F7" w:rsidR="00BE251E" w:rsidRDefault="00BE251E" w:rsidP="00BE251E">
      <w:pPr>
        <w:pStyle w:val="Heading2"/>
      </w:pPr>
      <w:r>
        <w:lastRenderedPageBreak/>
        <w:t>2.4.2</w:t>
      </w:r>
      <w:r>
        <w:tab/>
        <w:t xml:space="preserve">Number of UEs </w:t>
      </w:r>
    </w:p>
    <w:p w14:paraId="674C5605" w14:textId="4800379B" w:rsidR="00F43AD4" w:rsidRPr="003F0E80" w:rsidRDefault="00BE251E" w:rsidP="00BE251E">
      <w:pPr>
        <w:pStyle w:val="BodyText"/>
        <w:rPr>
          <w:lang w:val="en-US"/>
        </w:rPr>
      </w:pPr>
      <w:r w:rsidRPr="00024151">
        <w:rPr>
          <w:lang w:val="en-US"/>
        </w:rPr>
        <w:t xml:space="preserve">The evaluation methodology for the intra-cell mobility evaluations were purposely designed to stress the beam management functionality. In order to do that, a somewhat unrealistic model for UE movement was introduced: the UE would move along a pre-determined trajectory, perpendicular to the base station, and rather close. </w:t>
      </w:r>
      <w:r w:rsidRPr="003F0E80">
        <w:rPr>
          <w:lang w:val="en-US"/>
        </w:rPr>
        <w:t>This setup is well-motivated, and different solutions for beam management sh</w:t>
      </w:r>
      <w:r w:rsidR="00F43AD4" w:rsidRPr="003F0E80">
        <w:rPr>
          <w:lang w:val="en-US"/>
        </w:rPr>
        <w:t>ould provide different performance, to facilitate comparison of different proposals.</w:t>
      </w:r>
    </w:p>
    <w:p w14:paraId="62401AD3" w14:textId="602B421B" w:rsidR="000D2762" w:rsidRPr="00024151" w:rsidRDefault="00F43AD4" w:rsidP="00BE251E">
      <w:pPr>
        <w:pStyle w:val="BodyText"/>
        <w:rPr>
          <w:lang w:val="en-US"/>
        </w:rPr>
      </w:pPr>
      <w:r w:rsidRPr="00024151">
        <w:rPr>
          <w:lang w:val="en-US"/>
        </w:rPr>
        <w:t>However, in the current EVM proposal, the suggestion is that there should be two UEs in each cell, and these UEs will be quite close to each other at some point in time.</w:t>
      </w:r>
      <w:r w:rsidR="000D2762" w:rsidRPr="00024151">
        <w:rPr>
          <w:lang w:val="en-US"/>
        </w:rPr>
        <w:t xml:space="preserve"> With such a setup, it becomes important to ensure good MU-MIMO performance, by an optimization of scheduling and link adaptation. The beam management solutions will be less important, and improvements in this area will be hidden in MU-MIMO algorithm optimizations. </w:t>
      </w:r>
    </w:p>
    <w:p w14:paraId="770A16FA" w14:textId="77777777" w:rsidR="000D2762" w:rsidRPr="00024151" w:rsidRDefault="000D2762" w:rsidP="00BE251E">
      <w:pPr>
        <w:pStyle w:val="BodyText"/>
        <w:rPr>
          <w:lang w:val="en-US"/>
        </w:rPr>
      </w:pPr>
    </w:p>
    <w:p w14:paraId="374AAFD8" w14:textId="77777777" w:rsidR="00D12FB8" w:rsidRPr="00024151" w:rsidRDefault="000D2762" w:rsidP="00BE251E">
      <w:pPr>
        <w:pStyle w:val="BodyText"/>
        <w:rPr>
          <w:lang w:val="en-US"/>
        </w:rPr>
      </w:pPr>
      <w:r w:rsidRPr="00024151">
        <w:rPr>
          <w:lang w:val="en-US"/>
        </w:rPr>
        <w:t xml:space="preserve">Therefore, we propose that the baseline should be a single UE per cell, rather than </w:t>
      </w:r>
      <w:r w:rsidR="00D12FB8" w:rsidRPr="00024151">
        <w:rPr>
          <w:lang w:val="en-US"/>
        </w:rPr>
        <w:t>2 UEs:</w:t>
      </w:r>
    </w:p>
    <w:p w14:paraId="57E9BBA7" w14:textId="38B8A2F1" w:rsidR="00BE251E" w:rsidRPr="00024151" w:rsidRDefault="00D12FB8" w:rsidP="00D12FB8">
      <w:pPr>
        <w:pStyle w:val="Proposal"/>
        <w:rPr>
          <w:lang w:val="en-US"/>
        </w:rPr>
      </w:pPr>
      <w:bookmarkStart w:id="28" w:name="_Toc47708515"/>
      <w:r w:rsidRPr="00024151">
        <w:rPr>
          <w:lang w:val="en-US"/>
        </w:rPr>
        <w:t>One UE per cell is baseline for the intra-cell mobility evaluations.</w:t>
      </w:r>
      <w:bookmarkEnd w:id="28"/>
      <w:r w:rsidR="00F43AD4" w:rsidRPr="00024151">
        <w:rPr>
          <w:lang w:val="en-US"/>
        </w:rPr>
        <w:t xml:space="preserve"> </w:t>
      </w:r>
      <w:r w:rsidR="00BE251E" w:rsidRPr="00024151">
        <w:rPr>
          <w:lang w:val="en-US"/>
        </w:rPr>
        <w:t xml:space="preserve"> </w:t>
      </w:r>
    </w:p>
    <w:p w14:paraId="47B209F4" w14:textId="1E9C2071" w:rsidR="00EB36D7" w:rsidRDefault="00D12FB8" w:rsidP="00EB36D7">
      <w:pPr>
        <w:pStyle w:val="BodyText"/>
        <w:rPr>
          <w:lang w:val="en-GB"/>
        </w:rPr>
      </w:pPr>
      <w:r>
        <w:rPr>
          <w:lang w:val="en-GB"/>
        </w:rPr>
        <w:t>The same is true for the MPE evaluations: if we have multiple UEs per cell, there is a risk that the performance is determined by the chosen scheduler design, rather than the coverage loss that we are trying to mitigate. Therefore, we propose to drop one UE randomly per cell:</w:t>
      </w:r>
    </w:p>
    <w:p w14:paraId="66954692" w14:textId="7C4C2C63" w:rsidR="00D12FB8" w:rsidRPr="00EB36D7" w:rsidRDefault="00D12FB8" w:rsidP="00D12FB8">
      <w:pPr>
        <w:pStyle w:val="Proposal"/>
        <w:rPr>
          <w:lang w:val="en-GB"/>
        </w:rPr>
      </w:pPr>
      <w:bookmarkStart w:id="29" w:name="_Toc47708516"/>
      <w:r>
        <w:rPr>
          <w:lang w:val="en-GB"/>
        </w:rPr>
        <w:t>One UE is dropped randomly per cell for the MPE evaluations.</w:t>
      </w:r>
      <w:bookmarkEnd w:id="29"/>
    </w:p>
    <w:p w14:paraId="2D5402CE" w14:textId="19C71138" w:rsidR="00EA0D23" w:rsidRDefault="00D12FB8" w:rsidP="00D12FB8">
      <w:pPr>
        <w:pStyle w:val="Heading2"/>
      </w:pPr>
      <w:r>
        <w:t>2.4.3</w:t>
      </w:r>
      <w:r>
        <w:tab/>
        <w:t xml:space="preserve">Inter-cell </w:t>
      </w:r>
      <w:r w:rsidR="004816D4">
        <w:t>mobility</w:t>
      </w:r>
    </w:p>
    <w:p w14:paraId="5837778E" w14:textId="434188C4" w:rsidR="00F27317" w:rsidRDefault="004816D4" w:rsidP="004816D4">
      <w:pPr>
        <w:pStyle w:val="BodyText"/>
        <w:rPr>
          <w:lang w:val="en-GB"/>
        </w:rPr>
      </w:pPr>
      <w:r>
        <w:rPr>
          <w:lang w:val="en-GB"/>
        </w:rPr>
        <w:t xml:space="preserve">One of the topics in the WID is to introduce L1/L2-centric inter-cell mobility. In the email discussion leading up to the baseline assumptions in the appendix, there has been a discussion on evaluations of inter-cell mobility. </w:t>
      </w:r>
      <w:r w:rsidR="00F27317">
        <w:rPr>
          <w:lang w:val="en-GB"/>
        </w:rPr>
        <w:t>Extending the intra-cell mobility described in the appendix to inter-cell is relatively straightforward: the trajectory would simply be allowed to cross the cell borders. The performance metrics could also be reused.</w:t>
      </w:r>
    </w:p>
    <w:p w14:paraId="19955531" w14:textId="086650D4" w:rsidR="004816D4" w:rsidRDefault="004816D4" w:rsidP="004816D4">
      <w:pPr>
        <w:pStyle w:val="BodyText"/>
        <w:rPr>
          <w:lang w:val="en-GB"/>
        </w:rPr>
      </w:pPr>
      <w:r>
        <w:rPr>
          <w:lang w:val="en-GB"/>
        </w:rPr>
        <w:t xml:space="preserve">However, in contrast to intra-cell mobility, the Rel-15 baseline is quite complicated. The inter-cell mobility </w:t>
      </w:r>
      <w:r w:rsidR="00252F49">
        <w:rPr>
          <w:lang w:val="en-GB"/>
        </w:rPr>
        <w:t xml:space="preserve">in Rel-15 </w:t>
      </w:r>
      <w:r>
        <w:rPr>
          <w:lang w:val="en-GB"/>
        </w:rPr>
        <w:t>involves the following steps:</w:t>
      </w:r>
    </w:p>
    <w:p w14:paraId="4D24906C" w14:textId="19975B63" w:rsidR="00252F49" w:rsidRDefault="00252F49" w:rsidP="004816D4">
      <w:pPr>
        <w:pStyle w:val="BodyText"/>
        <w:numPr>
          <w:ilvl w:val="0"/>
          <w:numId w:val="31"/>
        </w:numPr>
        <w:rPr>
          <w:lang w:val="en-GB"/>
        </w:rPr>
      </w:pPr>
      <w:r>
        <w:rPr>
          <w:lang w:val="en-GB"/>
        </w:rPr>
        <w:t xml:space="preserve">UE performs </w:t>
      </w:r>
      <w:r w:rsidR="004816D4">
        <w:rPr>
          <w:lang w:val="en-GB"/>
        </w:rPr>
        <w:t>L1+L3 filtering of RSRP values</w:t>
      </w:r>
    </w:p>
    <w:p w14:paraId="44B296D7" w14:textId="473992C1" w:rsidR="004816D4" w:rsidRDefault="00252F49" w:rsidP="004816D4">
      <w:pPr>
        <w:pStyle w:val="BodyText"/>
        <w:numPr>
          <w:ilvl w:val="0"/>
          <w:numId w:val="31"/>
        </w:numPr>
        <w:rPr>
          <w:lang w:val="en-GB"/>
        </w:rPr>
      </w:pPr>
      <w:r>
        <w:rPr>
          <w:lang w:val="en-GB"/>
        </w:rPr>
        <w:t xml:space="preserve">The UE triggers a measurement report once the filtered RSRP value of a target is ~3dB better than the serving </w:t>
      </w:r>
    </w:p>
    <w:p w14:paraId="7560D7BD" w14:textId="2B13D350" w:rsidR="00252F49" w:rsidRDefault="00252F49" w:rsidP="004816D4">
      <w:pPr>
        <w:pStyle w:val="BodyText"/>
        <w:numPr>
          <w:ilvl w:val="0"/>
          <w:numId w:val="31"/>
        </w:numPr>
        <w:rPr>
          <w:lang w:val="en-GB"/>
        </w:rPr>
      </w:pPr>
      <w:r>
        <w:rPr>
          <w:lang w:val="en-GB"/>
        </w:rPr>
        <w:t>The UE asks for UL resources using SR</w:t>
      </w:r>
    </w:p>
    <w:p w14:paraId="03467AE8" w14:textId="3D750C70" w:rsidR="00252F49" w:rsidRDefault="00252F49" w:rsidP="004816D4">
      <w:pPr>
        <w:pStyle w:val="BodyText"/>
        <w:numPr>
          <w:ilvl w:val="0"/>
          <w:numId w:val="31"/>
        </w:numPr>
        <w:rPr>
          <w:lang w:val="en-GB"/>
        </w:rPr>
      </w:pPr>
      <w:r>
        <w:rPr>
          <w:lang w:val="en-GB"/>
        </w:rPr>
        <w:t xml:space="preserve">The UE sends the measurement report </w:t>
      </w:r>
    </w:p>
    <w:p w14:paraId="36CAF550" w14:textId="0FF2AC0F" w:rsidR="00252F49" w:rsidRDefault="00252F49" w:rsidP="004816D4">
      <w:pPr>
        <w:pStyle w:val="BodyText"/>
        <w:numPr>
          <w:ilvl w:val="0"/>
          <w:numId w:val="31"/>
        </w:numPr>
        <w:rPr>
          <w:lang w:val="en-GB"/>
        </w:rPr>
      </w:pPr>
      <w:r>
        <w:rPr>
          <w:lang w:val="en-GB"/>
        </w:rPr>
        <w:t>The NW sends a HO command to the UE</w:t>
      </w:r>
    </w:p>
    <w:p w14:paraId="7563A542" w14:textId="3B798083" w:rsidR="00F27317" w:rsidRPr="00F27317" w:rsidRDefault="00252F49" w:rsidP="00252F49">
      <w:pPr>
        <w:pStyle w:val="BodyText"/>
        <w:numPr>
          <w:ilvl w:val="0"/>
          <w:numId w:val="31"/>
        </w:numPr>
        <w:rPr>
          <w:lang w:val="en-GB"/>
        </w:rPr>
      </w:pPr>
      <w:r>
        <w:rPr>
          <w:lang w:val="en-GB"/>
        </w:rPr>
        <w:t>The UE performs RACH in the target</w:t>
      </w:r>
    </w:p>
    <w:p w14:paraId="23531209" w14:textId="2F769590" w:rsidR="00F27317" w:rsidRDefault="00252F49" w:rsidP="00252F49">
      <w:pPr>
        <w:pStyle w:val="BodyText"/>
        <w:rPr>
          <w:lang w:val="en-GB"/>
        </w:rPr>
      </w:pPr>
      <w:r>
        <w:rPr>
          <w:lang w:val="en-GB"/>
        </w:rPr>
        <w:t xml:space="preserve">Overall, </w:t>
      </w:r>
      <w:r w:rsidR="00F27317">
        <w:rPr>
          <w:lang w:val="en-GB"/>
        </w:rPr>
        <w:t xml:space="preserve">implementing this procedure explicitly is beyond the scope of the </w:t>
      </w:r>
      <w:proofErr w:type="spellStart"/>
      <w:r w:rsidR="00F27317">
        <w:rPr>
          <w:lang w:val="en-GB"/>
        </w:rPr>
        <w:t>feMIMO</w:t>
      </w:r>
      <w:proofErr w:type="spellEnd"/>
      <w:r w:rsidR="00F27317">
        <w:rPr>
          <w:lang w:val="en-GB"/>
        </w:rPr>
        <w:t xml:space="preserve"> WI. However, by simple inspection of the steps required, </w:t>
      </w:r>
      <w:proofErr w:type="gramStart"/>
      <w:r w:rsidR="00F27317">
        <w:rPr>
          <w:lang w:val="en-GB"/>
        </w:rPr>
        <w:t>it is clear that the</w:t>
      </w:r>
      <w:proofErr w:type="gramEnd"/>
      <w:r w:rsidR="00F27317">
        <w:rPr>
          <w:lang w:val="en-GB"/>
        </w:rPr>
        <w:t xml:space="preserve"> beam management procedures are far simpler.</w:t>
      </w:r>
    </w:p>
    <w:p w14:paraId="2EA21313" w14:textId="37FF37B8" w:rsidR="00F27317" w:rsidRDefault="00F27317" w:rsidP="00252F49">
      <w:pPr>
        <w:pStyle w:val="BodyText"/>
        <w:rPr>
          <w:lang w:val="en-GB"/>
        </w:rPr>
      </w:pPr>
      <w:r>
        <w:rPr>
          <w:lang w:val="en-GB"/>
        </w:rPr>
        <w:t>An alternative to the explicit implementation could be to model the procedure, e.g., by including an additional latency. But it would seem clear that such a model would not be a good representation of the actual procedure. In particular, the L3 filtering combined with the hysteresis would seem quite hard to model. Thus, we observe</w:t>
      </w:r>
    </w:p>
    <w:p w14:paraId="6EB0F056" w14:textId="61C19149" w:rsidR="00F27317" w:rsidRDefault="00F27317" w:rsidP="00F27317">
      <w:pPr>
        <w:pStyle w:val="Observation"/>
        <w:rPr>
          <w:lang w:val="en-GB"/>
        </w:rPr>
      </w:pPr>
      <w:bookmarkStart w:id="30" w:name="_Toc47708504"/>
      <w:r>
        <w:rPr>
          <w:lang w:val="en-GB"/>
        </w:rPr>
        <w:lastRenderedPageBreak/>
        <w:t xml:space="preserve">Implementing the actual Rel-15 handover procedure would be beyond the scope of the </w:t>
      </w:r>
      <w:proofErr w:type="spellStart"/>
      <w:r>
        <w:rPr>
          <w:lang w:val="en-GB"/>
        </w:rPr>
        <w:t>feMIMO</w:t>
      </w:r>
      <w:proofErr w:type="spellEnd"/>
      <w:r>
        <w:rPr>
          <w:lang w:val="en-GB"/>
        </w:rPr>
        <w:t xml:space="preserve"> WI, as would designing a simple model of the procedure.</w:t>
      </w:r>
      <w:bookmarkEnd w:id="30"/>
    </w:p>
    <w:p w14:paraId="59EF7D0D" w14:textId="4C242FDF" w:rsidR="00F27317" w:rsidRDefault="00F27317" w:rsidP="00F27317">
      <w:pPr>
        <w:pStyle w:val="BodyText"/>
        <w:rPr>
          <w:lang w:val="en-GB"/>
        </w:rPr>
      </w:pPr>
      <w:r>
        <w:rPr>
          <w:lang w:val="en-GB"/>
        </w:rPr>
        <w:t xml:space="preserve">Therefore, any evaluation of inter-cell mobility in the </w:t>
      </w:r>
      <w:proofErr w:type="spellStart"/>
      <w:r>
        <w:rPr>
          <w:lang w:val="en-GB"/>
        </w:rPr>
        <w:t>feMIMO</w:t>
      </w:r>
      <w:proofErr w:type="spellEnd"/>
      <w:r>
        <w:rPr>
          <w:lang w:val="en-GB"/>
        </w:rPr>
        <w:t xml:space="preserve"> WID would be performed without any accurate Rel-15 baseline. This reduces the value of such evaluations. Therefore, we propose</w:t>
      </w:r>
    </w:p>
    <w:p w14:paraId="234D6A5C" w14:textId="6F890099" w:rsidR="00F27317" w:rsidRDefault="00F27317" w:rsidP="00F27317">
      <w:pPr>
        <w:pStyle w:val="Proposal"/>
        <w:rPr>
          <w:lang w:val="en-GB"/>
        </w:rPr>
      </w:pPr>
      <w:bookmarkStart w:id="31" w:name="_Toc47708517"/>
      <w:r>
        <w:rPr>
          <w:lang w:val="en-GB"/>
        </w:rPr>
        <w:t xml:space="preserve">Do not evaluate inter-cell mobility using SLS in the </w:t>
      </w:r>
      <w:proofErr w:type="spellStart"/>
      <w:r>
        <w:rPr>
          <w:lang w:val="en-GB"/>
        </w:rPr>
        <w:t>feMIMO</w:t>
      </w:r>
      <w:proofErr w:type="spellEnd"/>
      <w:r>
        <w:rPr>
          <w:lang w:val="en-GB"/>
        </w:rPr>
        <w:t xml:space="preserve"> WI.</w:t>
      </w:r>
      <w:bookmarkEnd w:id="31"/>
    </w:p>
    <w:p w14:paraId="69D023B1" w14:textId="70F61CFB" w:rsidR="00F27317" w:rsidRDefault="00F27317" w:rsidP="00252F49">
      <w:pPr>
        <w:pStyle w:val="BodyText"/>
        <w:rPr>
          <w:lang w:val="en-GB"/>
        </w:rPr>
      </w:pPr>
    </w:p>
    <w:p w14:paraId="2CC2C7AA" w14:textId="77777777" w:rsidR="00F27317" w:rsidRPr="004816D4" w:rsidRDefault="00F27317" w:rsidP="00252F49">
      <w:pPr>
        <w:pStyle w:val="BodyText"/>
        <w:rPr>
          <w:lang w:val="en-GB"/>
        </w:rPr>
      </w:pPr>
    </w:p>
    <w:p w14:paraId="454F5106" w14:textId="77777777" w:rsidR="00C01F33" w:rsidRPr="00CE0424" w:rsidRDefault="00C01F33" w:rsidP="00CE0424">
      <w:pPr>
        <w:pStyle w:val="Heading1"/>
      </w:pPr>
      <w:r w:rsidRPr="00CE0424">
        <w:t>Conclusion</w:t>
      </w:r>
    </w:p>
    <w:p w14:paraId="0EE42FB8" w14:textId="77777777" w:rsidR="008E065E" w:rsidRPr="00240E36" w:rsidRDefault="008E065E" w:rsidP="008E065E">
      <w:pPr>
        <w:pStyle w:val="BodyText"/>
        <w:rPr>
          <w:b/>
        </w:rPr>
      </w:pPr>
      <w:r w:rsidRPr="00240E36">
        <w:t xml:space="preserve">In </w:t>
      </w:r>
      <w:r w:rsidR="007729A2" w:rsidRPr="00240E36">
        <w:t xml:space="preserve">the previous </w:t>
      </w:r>
      <w:r w:rsidRPr="00240E36">
        <w:t>section</w:t>
      </w:r>
      <w:r w:rsidR="007729A2" w:rsidRPr="00240E36">
        <w:t>s</w:t>
      </w:r>
      <w:r w:rsidRPr="00240E36">
        <w:t xml:space="preserve"> we made the following observations:</w:t>
      </w:r>
      <w:r w:rsidR="00C93814" w:rsidRPr="00240E36">
        <w:rPr>
          <w:b/>
        </w:rPr>
        <w:t xml:space="preserve"> </w:t>
      </w:r>
    </w:p>
    <w:p w14:paraId="0B123600" w14:textId="77777777" w:rsidR="007341E5"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47708493" w:history="1">
        <w:r w:rsidR="007341E5" w:rsidRPr="00CD13CC">
          <w:rPr>
            <w:rStyle w:val="Hyperlink"/>
            <w:noProof/>
          </w:rPr>
          <w:t>Observation 1</w:t>
        </w:r>
        <w:r w:rsidR="007341E5">
          <w:rPr>
            <w:rFonts w:asciiTheme="minorHAnsi" w:eastAsiaTheme="minorEastAsia" w:hAnsiTheme="minorHAnsi"/>
            <w:b w:val="0"/>
            <w:noProof/>
            <w:lang w:eastAsia="sv-SE"/>
          </w:rPr>
          <w:tab/>
        </w:r>
        <w:r w:rsidR="007341E5" w:rsidRPr="00CD13CC">
          <w:rPr>
            <w:rStyle w:val="Hyperlink"/>
            <w:noProof/>
          </w:rPr>
          <w:t>The description of the activation delay for a new TCI state is different in RAN1 and RAN4 specifications.</w:t>
        </w:r>
      </w:hyperlink>
    </w:p>
    <w:p w14:paraId="54AE4783"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494" w:history="1">
        <w:r w:rsidRPr="00CD13CC">
          <w:rPr>
            <w:rStyle w:val="Hyperlink"/>
            <w:noProof/>
          </w:rPr>
          <w:t>Observation 2</w:t>
        </w:r>
        <w:r>
          <w:rPr>
            <w:rFonts w:asciiTheme="minorHAnsi" w:eastAsiaTheme="minorEastAsia" w:hAnsiTheme="minorHAnsi"/>
            <w:b w:val="0"/>
            <w:noProof/>
            <w:lang w:eastAsia="sv-SE"/>
          </w:rPr>
          <w:tab/>
        </w:r>
        <w:r w:rsidRPr="00CD13CC">
          <w:rPr>
            <w:rStyle w:val="Hyperlink"/>
            <w:noProof/>
          </w:rPr>
          <w:t>Since the gNB never updates a TCI state without any measurement, it is attractive to include the TCI state update as part of the measurement procedure.</w:t>
        </w:r>
      </w:hyperlink>
    </w:p>
    <w:p w14:paraId="3CFA43B2"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495" w:history="1">
        <w:r w:rsidRPr="00CD13CC">
          <w:rPr>
            <w:rStyle w:val="Hyperlink"/>
            <w:noProof/>
          </w:rPr>
          <w:t>Observation 3</w:t>
        </w:r>
        <w:r>
          <w:rPr>
            <w:rFonts w:asciiTheme="minorHAnsi" w:eastAsiaTheme="minorEastAsia" w:hAnsiTheme="minorHAnsi"/>
            <w:b w:val="0"/>
            <w:noProof/>
            <w:lang w:eastAsia="sv-SE"/>
          </w:rPr>
          <w:tab/>
        </w:r>
        <w:r w:rsidRPr="00CD13CC">
          <w:rPr>
            <w:rStyle w:val="Hyperlink"/>
            <w:noProof/>
          </w:rPr>
          <w:t>In the overwhelming majority of cases, the gNB would follow the recommendation the UE provided in the measurement report.</w:t>
        </w:r>
      </w:hyperlink>
    </w:p>
    <w:p w14:paraId="6803D063"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496" w:history="1">
        <w:r w:rsidRPr="00CD13CC">
          <w:rPr>
            <w:rStyle w:val="Hyperlink"/>
            <w:noProof/>
          </w:rPr>
          <w:t>Observation 4</w:t>
        </w:r>
        <w:r>
          <w:rPr>
            <w:rFonts w:asciiTheme="minorHAnsi" w:eastAsiaTheme="minorEastAsia" w:hAnsiTheme="minorHAnsi"/>
            <w:b w:val="0"/>
            <w:noProof/>
            <w:lang w:eastAsia="sv-SE"/>
          </w:rPr>
          <w:tab/>
        </w:r>
        <w:r w:rsidRPr="00CD13CC">
          <w:rPr>
            <w:rStyle w:val="Hyperlink"/>
            <w:noProof/>
          </w:rPr>
          <w:t>The Release-16 beam management procedures can only refer to RSs that are related to a serving cell.</w:t>
        </w:r>
      </w:hyperlink>
    </w:p>
    <w:p w14:paraId="755E662A"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497" w:history="1">
        <w:r w:rsidRPr="00CD13CC">
          <w:rPr>
            <w:rStyle w:val="Hyperlink"/>
            <w:noProof/>
          </w:rPr>
          <w:t>Observation 5</w:t>
        </w:r>
        <w:r>
          <w:rPr>
            <w:rFonts w:asciiTheme="minorHAnsi" w:eastAsiaTheme="minorEastAsia" w:hAnsiTheme="minorHAnsi"/>
            <w:b w:val="0"/>
            <w:noProof/>
            <w:lang w:eastAsia="sv-SE"/>
          </w:rPr>
          <w:tab/>
        </w:r>
        <w:r w:rsidRPr="00CD13CC">
          <w:rPr>
            <w:rStyle w:val="Hyperlink"/>
            <w:noProof/>
          </w:rPr>
          <w:t>The limitation that the beam management procedures only refer to RS related to a serving cell is artificial, and UEs already today have support for at least some of the functionality related to inter-cell beam management.</w:t>
        </w:r>
      </w:hyperlink>
    </w:p>
    <w:p w14:paraId="4182514B"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498" w:history="1">
        <w:r w:rsidRPr="00CD13CC">
          <w:rPr>
            <w:rStyle w:val="Hyperlink"/>
            <w:noProof/>
          </w:rPr>
          <w:t>Observation 6</w:t>
        </w:r>
        <w:r>
          <w:rPr>
            <w:rFonts w:asciiTheme="minorHAnsi" w:eastAsiaTheme="minorEastAsia" w:hAnsiTheme="minorHAnsi"/>
            <w:b w:val="0"/>
            <w:noProof/>
            <w:lang w:eastAsia="sv-SE"/>
          </w:rPr>
          <w:tab/>
        </w:r>
        <w:r w:rsidRPr="00CD13CC">
          <w:rPr>
            <w:rStyle w:val="Hyperlink"/>
            <w:noProof/>
          </w:rPr>
          <w:t>To facilitate inter-cell beam management, the CSI report configurations and the TCI needs to be updated.</w:t>
        </w:r>
      </w:hyperlink>
    </w:p>
    <w:p w14:paraId="3F7583C9"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499" w:history="1">
        <w:r w:rsidRPr="00CD13CC">
          <w:rPr>
            <w:rStyle w:val="Hyperlink"/>
            <w:noProof/>
          </w:rPr>
          <w:t>Observation 7</w:t>
        </w:r>
        <w:r>
          <w:rPr>
            <w:rFonts w:asciiTheme="minorHAnsi" w:eastAsiaTheme="minorEastAsia" w:hAnsiTheme="minorHAnsi"/>
            <w:b w:val="0"/>
            <w:noProof/>
            <w:lang w:eastAsia="sv-SE"/>
          </w:rPr>
          <w:tab/>
        </w:r>
        <w:r w:rsidRPr="00CD13CC">
          <w:rPr>
            <w:rStyle w:val="Hyperlink"/>
            <w:noProof/>
          </w:rPr>
          <w:t>By introducing a PCI in a TCI state, the UE may be configured to perform measurements on CSI-RS transmitted from a non-serving cell.</w:t>
        </w:r>
      </w:hyperlink>
    </w:p>
    <w:p w14:paraId="1A4D922F"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0" w:history="1">
        <w:r w:rsidRPr="00CD13CC">
          <w:rPr>
            <w:rStyle w:val="Hyperlink"/>
            <w:noProof/>
          </w:rPr>
          <w:t>Observation 8</w:t>
        </w:r>
        <w:r>
          <w:rPr>
            <w:rFonts w:asciiTheme="minorHAnsi" w:eastAsiaTheme="minorEastAsia" w:hAnsiTheme="minorHAnsi"/>
            <w:b w:val="0"/>
            <w:noProof/>
            <w:lang w:eastAsia="sv-SE"/>
          </w:rPr>
          <w:tab/>
        </w:r>
        <w:r w:rsidRPr="00CD13CC">
          <w:rPr>
            <w:rStyle w:val="Hyperlink"/>
            <w:noProof/>
          </w:rPr>
          <w:t>The inter-cell measurements would reuse the measurements the UE is already performing – only the reporting would change.</w:t>
        </w:r>
      </w:hyperlink>
    </w:p>
    <w:p w14:paraId="2CEDD896"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1" w:history="1">
        <w:r w:rsidRPr="00CD13CC">
          <w:rPr>
            <w:rStyle w:val="Hyperlink"/>
            <w:noProof/>
          </w:rPr>
          <w:t>Observation 9</w:t>
        </w:r>
        <w:r>
          <w:rPr>
            <w:rFonts w:asciiTheme="minorHAnsi" w:eastAsiaTheme="minorEastAsia" w:hAnsiTheme="minorHAnsi"/>
            <w:b w:val="0"/>
            <w:noProof/>
            <w:lang w:eastAsia="sv-SE"/>
          </w:rPr>
          <w:tab/>
        </w:r>
        <w:r w:rsidRPr="00CD13CC">
          <w:rPr>
            <w:rStyle w:val="Hyperlink"/>
            <w:noProof/>
          </w:rPr>
          <w:t>The above solution puts some restrictions on the configuration of serving and non-serving cells.</w:t>
        </w:r>
      </w:hyperlink>
    </w:p>
    <w:p w14:paraId="3B9ABF38"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2" w:history="1">
        <w:r w:rsidRPr="00CD13CC">
          <w:rPr>
            <w:rStyle w:val="Hyperlink"/>
            <w:noProof/>
          </w:rPr>
          <w:t>Observation 10</w:t>
        </w:r>
        <w:r>
          <w:rPr>
            <w:rFonts w:asciiTheme="minorHAnsi" w:eastAsiaTheme="minorEastAsia" w:hAnsiTheme="minorHAnsi"/>
            <w:b w:val="0"/>
            <w:noProof/>
            <w:lang w:eastAsia="sv-SE"/>
          </w:rPr>
          <w:tab/>
        </w:r>
        <w:r w:rsidRPr="00CD13CC">
          <w:rPr>
            <w:rStyle w:val="Hyperlink"/>
            <w:noProof/>
          </w:rPr>
          <w:t>The inter-cell beam management procedures are equally, or more, applicable to FR1, and it is important to consider the UE capabilities related to TCI states and L1-RSRP measurements also for FR1.</w:t>
        </w:r>
      </w:hyperlink>
    </w:p>
    <w:p w14:paraId="3AA6A12F"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3" w:history="1">
        <w:r w:rsidRPr="00CD13CC">
          <w:rPr>
            <w:rStyle w:val="Hyperlink"/>
            <w:noProof/>
          </w:rPr>
          <w:t>Observation 11</w:t>
        </w:r>
        <w:r>
          <w:rPr>
            <w:rFonts w:asciiTheme="minorHAnsi" w:eastAsiaTheme="minorEastAsia" w:hAnsiTheme="minorHAnsi"/>
            <w:b w:val="0"/>
            <w:noProof/>
            <w:lang w:eastAsia="sv-SE"/>
          </w:rPr>
          <w:tab/>
        </w:r>
        <w:r w:rsidRPr="00CD13CC">
          <w:rPr>
            <w:rStyle w:val="Hyperlink"/>
            <w:noProof/>
          </w:rPr>
          <w:t>The rules for the default beam are not fully aligned, and not implemented for all cases.</w:t>
        </w:r>
      </w:hyperlink>
    </w:p>
    <w:p w14:paraId="258259BF"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4" w:history="1">
        <w:r w:rsidRPr="00CD13CC">
          <w:rPr>
            <w:rStyle w:val="Hyperlink"/>
            <w:noProof/>
            <w:lang w:val="en-GB"/>
          </w:rPr>
          <w:t>Observation 12</w:t>
        </w:r>
        <w:r>
          <w:rPr>
            <w:rFonts w:asciiTheme="minorHAnsi" w:eastAsiaTheme="minorEastAsia" w:hAnsiTheme="minorHAnsi"/>
            <w:b w:val="0"/>
            <w:noProof/>
            <w:lang w:eastAsia="sv-SE"/>
          </w:rPr>
          <w:tab/>
        </w:r>
        <w:r w:rsidRPr="00CD13CC">
          <w:rPr>
            <w:rStyle w:val="Hyperlink"/>
            <w:noProof/>
            <w:lang w:val="en-GB"/>
          </w:rPr>
          <w:t>Implementing the actual Rel-15 handover procedure would be beyond the scope of the feMIMO WI, as would designing a simple model of the procedure.</w:t>
        </w:r>
      </w:hyperlink>
    </w:p>
    <w:p w14:paraId="20785C11" w14:textId="0D33C1B7" w:rsidR="006E1C82" w:rsidRPr="00024151" w:rsidRDefault="006F6582" w:rsidP="006E1C82">
      <w:pPr>
        <w:pStyle w:val="BodyText"/>
        <w:rPr>
          <w:b/>
          <w:lang w:val="en-US"/>
        </w:rPr>
      </w:pPr>
      <w:r>
        <w:rPr>
          <w:b/>
          <w:bCs/>
        </w:rPr>
        <w:fldChar w:fldCharType="end"/>
      </w:r>
      <w:r w:rsidR="008E065E" w:rsidRPr="00024151">
        <w:rPr>
          <w:lang w:val="en-US"/>
        </w:rPr>
        <w:t xml:space="preserve">Based on the discussion in </w:t>
      </w:r>
      <w:r w:rsidR="007729A2" w:rsidRPr="00024151">
        <w:rPr>
          <w:lang w:val="en-US"/>
        </w:rPr>
        <w:t xml:space="preserve">the previous </w:t>
      </w:r>
      <w:r w:rsidR="008E065E" w:rsidRPr="00024151">
        <w:rPr>
          <w:lang w:val="en-US"/>
        </w:rPr>
        <w:t>section</w:t>
      </w:r>
      <w:r w:rsidR="007729A2" w:rsidRPr="00024151">
        <w:rPr>
          <w:lang w:val="en-US"/>
        </w:rPr>
        <w:t>s</w:t>
      </w:r>
      <w:r w:rsidR="008E065E" w:rsidRPr="00024151">
        <w:rPr>
          <w:lang w:val="en-US"/>
        </w:rPr>
        <w:t xml:space="preserve"> we propose the following:</w:t>
      </w:r>
    </w:p>
    <w:p w14:paraId="56C8FE0F" w14:textId="77777777" w:rsidR="007341E5" w:rsidRDefault="006E1C82">
      <w:pPr>
        <w:pStyle w:val="TableofFigures"/>
        <w:tabs>
          <w:tab w:val="right" w:leader="dot" w:pos="9629"/>
        </w:tabs>
        <w:rPr>
          <w:rFonts w:asciiTheme="minorHAnsi" w:eastAsiaTheme="minorEastAsia" w:hAnsiTheme="minorHAnsi"/>
          <w:b w:val="0"/>
          <w:noProof/>
          <w:lang w:eastAsia="sv-SE"/>
        </w:rPr>
      </w:pPr>
      <w:r>
        <w:rPr>
          <w:b w:val="0"/>
        </w:rPr>
        <w:fldChar w:fldCharType="begin"/>
      </w:r>
      <w:r>
        <w:rPr>
          <w:b w:val="0"/>
        </w:rPr>
        <w:instrText xml:space="preserve"> TOC \n \h \z \t "Proposal" \c </w:instrText>
      </w:r>
      <w:r>
        <w:rPr>
          <w:b w:val="0"/>
        </w:rPr>
        <w:fldChar w:fldCharType="separate"/>
      </w:r>
      <w:hyperlink w:anchor="_Toc47708505" w:history="1">
        <w:r w:rsidR="007341E5" w:rsidRPr="00852FA7">
          <w:rPr>
            <w:rStyle w:val="Hyperlink"/>
            <w:noProof/>
          </w:rPr>
          <w:t>Proposal 1</w:t>
        </w:r>
        <w:r w:rsidR="007341E5">
          <w:rPr>
            <w:rFonts w:asciiTheme="minorHAnsi" w:eastAsiaTheme="minorEastAsia" w:hAnsiTheme="minorHAnsi"/>
            <w:b w:val="0"/>
            <w:noProof/>
            <w:lang w:eastAsia="sv-SE"/>
          </w:rPr>
          <w:tab/>
        </w:r>
        <w:r w:rsidR="007341E5" w:rsidRPr="00852FA7">
          <w:rPr>
            <w:rStyle w:val="Hyperlink"/>
            <w:noProof/>
          </w:rPr>
          <w:t>Focus on reducing the activation delay and speeding up the signaling.</w:t>
        </w:r>
      </w:hyperlink>
    </w:p>
    <w:p w14:paraId="77C77C05"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6" w:history="1">
        <w:r w:rsidRPr="00852FA7">
          <w:rPr>
            <w:rStyle w:val="Hyperlink"/>
            <w:noProof/>
          </w:rPr>
          <w:t>Proposal 2</w:t>
        </w:r>
        <w:r>
          <w:rPr>
            <w:rFonts w:asciiTheme="minorHAnsi" w:eastAsiaTheme="minorEastAsia" w:hAnsiTheme="minorHAnsi"/>
            <w:b w:val="0"/>
            <w:noProof/>
            <w:lang w:eastAsia="sv-SE"/>
          </w:rPr>
          <w:tab/>
        </w:r>
        <w:r w:rsidRPr="00852FA7">
          <w:rPr>
            <w:rStyle w:val="Hyperlink"/>
            <w:noProof/>
          </w:rPr>
          <w:t>After performing a measurement on an aperiodic CSI-RS, the UE would update the TCI state used as QCL source for the PDCCH/PDSCH DMRS to the QCL source corresponding to the best CSI-RS.</w:t>
        </w:r>
      </w:hyperlink>
    </w:p>
    <w:p w14:paraId="3AEDC9FF"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7" w:history="1">
        <w:r w:rsidRPr="00852FA7">
          <w:rPr>
            <w:rStyle w:val="Hyperlink"/>
            <w:noProof/>
          </w:rPr>
          <w:t>Proposal 3</w:t>
        </w:r>
        <w:r>
          <w:rPr>
            <w:rFonts w:asciiTheme="minorHAnsi" w:eastAsiaTheme="minorEastAsia" w:hAnsiTheme="minorHAnsi"/>
            <w:b w:val="0"/>
            <w:noProof/>
            <w:lang w:eastAsia="sv-SE"/>
          </w:rPr>
          <w:tab/>
        </w:r>
        <w:r w:rsidRPr="00852FA7">
          <w:rPr>
            <w:rStyle w:val="Hyperlink"/>
            <w:noProof/>
          </w:rPr>
          <w:t>Include a PCI in the TCI state to facilitate the use of reference signals from non-serving cells as QCL sources.</w:t>
        </w:r>
      </w:hyperlink>
    </w:p>
    <w:p w14:paraId="4F6B10FB"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8" w:history="1">
        <w:r w:rsidRPr="00852FA7">
          <w:rPr>
            <w:rStyle w:val="Hyperlink"/>
            <w:noProof/>
          </w:rPr>
          <w:t>Proposal 4</w:t>
        </w:r>
        <w:r>
          <w:rPr>
            <w:rFonts w:asciiTheme="minorHAnsi" w:eastAsiaTheme="minorEastAsia" w:hAnsiTheme="minorHAnsi"/>
            <w:b w:val="0"/>
            <w:noProof/>
            <w:lang w:eastAsia="sv-SE"/>
          </w:rPr>
          <w:tab/>
        </w:r>
        <w:r w:rsidRPr="00852FA7">
          <w:rPr>
            <w:rStyle w:val="Hyperlink"/>
            <w:noProof/>
          </w:rPr>
          <w:t xml:space="preserve">Define the </w:t>
        </w:r>
        <w:r w:rsidRPr="00852FA7">
          <w:rPr>
            <w:rStyle w:val="Hyperlink"/>
            <w:i/>
            <w:noProof/>
          </w:rPr>
          <w:t xml:space="preserve">CSI-SSB-ResourceSet </w:t>
        </w:r>
        <w:r w:rsidRPr="00852FA7">
          <w:rPr>
            <w:rStyle w:val="Hyperlink"/>
            <w:noProof/>
          </w:rPr>
          <w:t>so that one report can contain measurements from different cells.</w:t>
        </w:r>
      </w:hyperlink>
    </w:p>
    <w:p w14:paraId="597742C0"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09" w:history="1">
        <w:r w:rsidRPr="00852FA7">
          <w:rPr>
            <w:rStyle w:val="Hyperlink"/>
            <w:noProof/>
          </w:rPr>
          <w:t>Proposal 5</w:t>
        </w:r>
        <w:r>
          <w:rPr>
            <w:rFonts w:asciiTheme="minorHAnsi" w:eastAsiaTheme="minorEastAsia" w:hAnsiTheme="minorHAnsi"/>
            <w:b w:val="0"/>
            <w:noProof/>
            <w:lang w:eastAsia="sv-SE"/>
          </w:rPr>
          <w:tab/>
        </w:r>
        <w:r w:rsidRPr="00852FA7">
          <w:rPr>
            <w:rStyle w:val="Hyperlink"/>
            <w:noProof/>
          </w:rPr>
          <w:t>Introduce a PCI in the configurations related to UL transmissions: spatial relations and pathloss reference RS.</w:t>
        </w:r>
      </w:hyperlink>
    </w:p>
    <w:p w14:paraId="4F48AA39"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10" w:history="1">
        <w:r w:rsidRPr="00852FA7">
          <w:rPr>
            <w:rStyle w:val="Hyperlink"/>
            <w:noProof/>
          </w:rPr>
          <w:t>Proposal 6</w:t>
        </w:r>
        <w:r>
          <w:rPr>
            <w:rFonts w:asciiTheme="minorHAnsi" w:eastAsiaTheme="minorEastAsia" w:hAnsiTheme="minorHAnsi"/>
            <w:b w:val="0"/>
            <w:noProof/>
            <w:lang w:eastAsia="sv-SE"/>
          </w:rPr>
          <w:tab/>
        </w:r>
        <w:r w:rsidRPr="00852FA7">
          <w:rPr>
            <w:rStyle w:val="Hyperlink"/>
            <w:noProof/>
          </w:rPr>
          <w:t>Implement complete support for common beam operation that considers restrictions in the UE hardware relevant for intra-band and inter-band carrier aggregation.</w:t>
        </w:r>
      </w:hyperlink>
    </w:p>
    <w:p w14:paraId="31B72AD1"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11" w:history="1">
        <w:r w:rsidRPr="00852FA7">
          <w:rPr>
            <w:rStyle w:val="Hyperlink"/>
            <w:noProof/>
          </w:rPr>
          <w:t>Proposal 7</w:t>
        </w:r>
        <w:r>
          <w:rPr>
            <w:rFonts w:asciiTheme="minorHAnsi" w:eastAsiaTheme="minorEastAsia" w:hAnsiTheme="minorHAnsi"/>
            <w:b w:val="0"/>
            <w:noProof/>
            <w:lang w:eastAsia="sv-SE"/>
          </w:rPr>
          <w:tab/>
        </w:r>
        <w:r w:rsidRPr="00852FA7">
          <w:rPr>
            <w:rStyle w:val="Hyperlink"/>
            <w:noProof/>
          </w:rPr>
          <w:t>Introduce an UL TCI which could serve as a direct source for the spatial properties of all UL signals: SRS, PUCCH and PUSCH.</w:t>
        </w:r>
      </w:hyperlink>
    </w:p>
    <w:p w14:paraId="5AF27329"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12" w:history="1">
        <w:r w:rsidRPr="00852FA7">
          <w:rPr>
            <w:rStyle w:val="Hyperlink"/>
            <w:noProof/>
          </w:rPr>
          <w:t>Proposal 8</w:t>
        </w:r>
        <w:r>
          <w:rPr>
            <w:rFonts w:asciiTheme="minorHAnsi" w:eastAsiaTheme="minorEastAsia" w:hAnsiTheme="minorHAnsi"/>
            <w:b w:val="0"/>
            <w:noProof/>
            <w:lang w:eastAsia="sv-SE"/>
          </w:rPr>
          <w:tab/>
        </w:r>
        <w:r w:rsidRPr="00852FA7">
          <w:rPr>
            <w:rStyle w:val="Hyperlink"/>
            <w:noProof/>
          </w:rPr>
          <w:t>UL TCI is optionally configured.</w:t>
        </w:r>
      </w:hyperlink>
    </w:p>
    <w:p w14:paraId="2238C091"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13" w:history="1">
        <w:r w:rsidRPr="00852FA7">
          <w:rPr>
            <w:rStyle w:val="Hyperlink"/>
            <w:noProof/>
            <w:lang w:val="en-GB"/>
          </w:rPr>
          <w:t>Proposal 9</w:t>
        </w:r>
        <w:r>
          <w:rPr>
            <w:rFonts w:asciiTheme="minorHAnsi" w:eastAsiaTheme="minorEastAsia" w:hAnsiTheme="minorHAnsi"/>
            <w:b w:val="0"/>
            <w:noProof/>
            <w:lang w:eastAsia="sv-SE"/>
          </w:rPr>
          <w:tab/>
        </w:r>
        <w:r w:rsidRPr="00852FA7">
          <w:rPr>
            <w:rStyle w:val="Hyperlink"/>
            <w:noProof/>
            <w:lang w:val="en-GB"/>
          </w:rPr>
          <w:t>The UE orientation is vertical, with a random orientation in azimuth.</w:t>
        </w:r>
      </w:hyperlink>
    </w:p>
    <w:p w14:paraId="764037E4"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14" w:history="1">
        <w:r w:rsidRPr="00852FA7">
          <w:rPr>
            <w:rStyle w:val="Hyperlink"/>
            <w:noProof/>
            <w:lang w:val="en-GB"/>
          </w:rPr>
          <w:t>Proposal 10</w:t>
        </w:r>
        <w:r>
          <w:rPr>
            <w:rFonts w:asciiTheme="minorHAnsi" w:eastAsiaTheme="minorEastAsia" w:hAnsiTheme="minorHAnsi"/>
            <w:b w:val="0"/>
            <w:noProof/>
            <w:lang w:eastAsia="sv-SE"/>
          </w:rPr>
          <w:tab/>
        </w:r>
        <w:r w:rsidRPr="00852FA7">
          <w:rPr>
            <w:rStyle w:val="Hyperlink"/>
            <w:noProof/>
            <w:lang w:val="en-GB"/>
          </w:rPr>
          <w:t>Confirm the orientation for each UE antenna panel once the UE orientation is clarified.</w:t>
        </w:r>
      </w:hyperlink>
    </w:p>
    <w:p w14:paraId="18AD0F08"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15" w:history="1">
        <w:r w:rsidRPr="00852FA7">
          <w:rPr>
            <w:rStyle w:val="Hyperlink"/>
            <w:noProof/>
            <w:lang w:val="en-US"/>
          </w:rPr>
          <w:t>Proposal 11</w:t>
        </w:r>
        <w:r>
          <w:rPr>
            <w:rFonts w:asciiTheme="minorHAnsi" w:eastAsiaTheme="minorEastAsia" w:hAnsiTheme="minorHAnsi"/>
            <w:b w:val="0"/>
            <w:noProof/>
            <w:lang w:eastAsia="sv-SE"/>
          </w:rPr>
          <w:tab/>
        </w:r>
        <w:r w:rsidRPr="00852FA7">
          <w:rPr>
            <w:rStyle w:val="Hyperlink"/>
            <w:noProof/>
            <w:lang w:val="en-US"/>
          </w:rPr>
          <w:t>One UE per cell is baseline for the intra-cell mobility evaluations.</w:t>
        </w:r>
      </w:hyperlink>
    </w:p>
    <w:p w14:paraId="42265A48"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16" w:history="1">
        <w:r w:rsidRPr="00852FA7">
          <w:rPr>
            <w:rStyle w:val="Hyperlink"/>
            <w:noProof/>
            <w:lang w:val="en-GB"/>
          </w:rPr>
          <w:t>Proposal 12</w:t>
        </w:r>
        <w:r>
          <w:rPr>
            <w:rFonts w:asciiTheme="minorHAnsi" w:eastAsiaTheme="minorEastAsia" w:hAnsiTheme="minorHAnsi"/>
            <w:b w:val="0"/>
            <w:noProof/>
            <w:lang w:eastAsia="sv-SE"/>
          </w:rPr>
          <w:tab/>
        </w:r>
        <w:r w:rsidRPr="00852FA7">
          <w:rPr>
            <w:rStyle w:val="Hyperlink"/>
            <w:noProof/>
            <w:lang w:val="en-GB"/>
          </w:rPr>
          <w:t>One UE is dropped randomly per cell for the MPE evaluations.</w:t>
        </w:r>
      </w:hyperlink>
    </w:p>
    <w:p w14:paraId="546254B8" w14:textId="77777777" w:rsidR="007341E5" w:rsidRDefault="007341E5">
      <w:pPr>
        <w:pStyle w:val="TableofFigures"/>
        <w:tabs>
          <w:tab w:val="right" w:leader="dot" w:pos="9629"/>
        </w:tabs>
        <w:rPr>
          <w:rFonts w:asciiTheme="minorHAnsi" w:eastAsiaTheme="minorEastAsia" w:hAnsiTheme="minorHAnsi"/>
          <w:b w:val="0"/>
          <w:noProof/>
          <w:lang w:eastAsia="sv-SE"/>
        </w:rPr>
      </w:pPr>
      <w:hyperlink w:anchor="_Toc47708517" w:history="1">
        <w:r w:rsidRPr="00852FA7">
          <w:rPr>
            <w:rStyle w:val="Hyperlink"/>
            <w:noProof/>
            <w:lang w:val="en-GB"/>
          </w:rPr>
          <w:t>Proposal 13</w:t>
        </w:r>
        <w:r>
          <w:rPr>
            <w:rFonts w:asciiTheme="minorHAnsi" w:eastAsiaTheme="minorEastAsia" w:hAnsiTheme="minorHAnsi"/>
            <w:b w:val="0"/>
            <w:noProof/>
            <w:lang w:eastAsia="sv-SE"/>
          </w:rPr>
          <w:tab/>
        </w:r>
        <w:r w:rsidRPr="00852FA7">
          <w:rPr>
            <w:rStyle w:val="Hyperlink"/>
            <w:noProof/>
            <w:lang w:val="en-GB"/>
          </w:rPr>
          <w:t>Do not evaluate inter-cell mobility using SLS in the feMIMO WI.</w:t>
        </w:r>
      </w:hyperlink>
    </w:p>
    <w:p w14:paraId="3333834C" w14:textId="25275BD4" w:rsidR="006E1C82" w:rsidRPr="00CE0424" w:rsidRDefault="006E1C82" w:rsidP="006E1C82">
      <w:pPr>
        <w:pStyle w:val="BodyText"/>
        <w:rPr>
          <w:b/>
          <w:bCs/>
        </w:rPr>
      </w:pPr>
      <w:r>
        <w:rPr>
          <w:b/>
        </w:rPr>
        <w:fldChar w:fldCharType="end"/>
      </w:r>
      <w:r w:rsidRPr="00CE0424">
        <w:rPr>
          <w:b/>
          <w:bCs/>
        </w:rPr>
        <w:t xml:space="preserve"> </w:t>
      </w:r>
    </w:p>
    <w:p w14:paraId="434C655B" w14:textId="77777777" w:rsidR="00F507D1" w:rsidRPr="00CE0424" w:rsidRDefault="00F507D1" w:rsidP="00CE0424">
      <w:pPr>
        <w:pStyle w:val="Heading1"/>
      </w:pPr>
      <w:bookmarkStart w:id="32" w:name="_In-sequence_SDU_delivery"/>
      <w:bookmarkEnd w:id="32"/>
      <w:r w:rsidRPr="00CE0424">
        <w:t>References</w:t>
      </w:r>
    </w:p>
    <w:p w14:paraId="64D92E1F" w14:textId="3AD16130" w:rsidR="005F3025" w:rsidRPr="00240E36" w:rsidRDefault="000A20C1" w:rsidP="00311702">
      <w:pPr>
        <w:pStyle w:val="Reference"/>
      </w:pPr>
      <w:bookmarkStart w:id="33" w:name="_Ref31185007"/>
      <w:bookmarkStart w:id="34" w:name="_Ref174151459"/>
      <w:bookmarkStart w:id="35" w:name="_Ref189809556"/>
      <w:r w:rsidRPr="00240E36">
        <w:t xml:space="preserve">RP-193133, New WID: Further enhancements on MIMO for NR, Samsung, </w:t>
      </w:r>
      <w:r w:rsidR="002613D6" w:rsidRPr="00240E36">
        <w:t xml:space="preserve">RAN#86, </w:t>
      </w:r>
      <w:proofErr w:type="spellStart"/>
      <w:r w:rsidRPr="00240E36">
        <w:t>Sitges</w:t>
      </w:r>
      <w:proofErr w:type="spellEnd"/>
      <w:r w:rsidRPr="00240E36">
        <w:t xml:space="preserve">, </w:t>
      </w:r>
      <w:r w:rsidR="002613D6" w:rsidRPr="00240E36">
        <w:t>December</w:t>
      </w:r>
      <w:r w:rsidRPr="00240E36">
        <w:t xml:space="preserve"> 2019</w:t>
      </w:r>
      <w:bookmarkEnd w:id="33"/>
      <w:r w:rsidR="005F3025" w:rsidRPr="00240E36">
        <w:t xml:space="preserve"> </w:t>
      </w:r>
    </w:p>
    <w:p w14:paraId="1FD2035E" w14:textId="7F1E94F7" w:rsidR="00F06766" w:rsidRPr="00F06766" w:rsidRDefault="00F06766" w:rsidP="00F06766">
      <w:pPr>
        <w:pStyle w:val="Heading1"/>
      </w:pPr>
      <w:bookmarkStart w:id="36" w:name="_Ref47619148"/>
      <w:bookmarkEnd w:id="34"/>
      <w:bookmarkEnd w:id="35"/>
      <w:r>
        <w:t>Appendix: Baseline EVM assumptions</w:t>
      </w:r>
      <w:bookmarkEnd w:id="36"/>
    </w:p>
    <w:p w14:paraId="56D7F082" w14:textId="77777777" w:rsidR="00F06766" w:rsidRPr="00024151" w:rsidRDefault="00F06766" w:rsidP="00F06766">
      <w:pPr>
        <w:snapToGrid w:val="0"/>
        <w:spacing w:after="120" w:line="288" w:lineRule="auto"/>
        <w:jc w:val="both"/>
        <w:rPr>
          <w:sz w:val="20"/>
          <w:szCs w:val="20"/>
          <w:lang w:val="en-US"/>
        </w:rPr>
      </w:pPr>
      <w:r w:rsidRPr="00024151">
        <w:rPr>
          <w:b/>
          <w:sz w:val="20"/>
          <w:szCs w:val="20"/>
          <w:lang w:val="en-US"/>
        </w:rPr>
        <w:t xml:space="preserve">Proposal 1: </w:t>
      </w:r>
      <w:r w:rsidRPr="00024151">
        <w:rPr>
          <w:sz w:val="20"/>
          <w:szCs w:val="20"/>
          <w:lang w:val="en-US"/>
        </w:rPr>
        <w:t>SLS is the baseline tool for evaluation.</w:t>
      </w:r>
    </w:p>
    <w:p w14:paraId="35329061" w14:textId="77777777" w:rsidR="00F06766" w:rsidRPr="00F42D10" w:rsidRDefault="00F06766" w:rsidP="00F06766">
      <w:pPr>
        <w:pStyle w:val="ListParagraph"/>
        <w:numPr>
          <w:ilvl w:val="0"/>
          <w:numId w:val="36"/>
        </w:numPr>
        <w:snapToGrid w:val="0"/>
        <w:spacing w:after="120" w:line="288" w:lineRule="auto"/>
        <w:contextualSpacing/>
        <w:jc w:val="both"/>
        <w:rPr>
          <w:rFonts w:ascii="Times New Roman" w:hAnsi="Times New Roman" w:cs="Times New Roman"/>
          <w:sz w:val="20"/>
          <w:szCs w:val="20"/>
        </w:rPr>
      </w:pPr>
      <w:r w:rsidRPr="00F42D10">
        <w:rPr>
          <w:rFonts w:ascii="Times New Roman" w:hAnsi="Times New Roman" w:cs="Times New Roman"/>
          <w:sz w:val="20"/>
          <w:szCs w:val="20"/>
        </w:rPr>
        <w:t>Two separate SLS EVMs are used for: 1) intra-cell mobility scenarios, 2) MPE mitigation (UL coverage loss due to meeting MPE regulation) and multi-panel UE</w:t>
      </w:r>
    </w:p>
    <w:p w14:paraId="6FD9BB51" w14:textId="77777777" w:rsidR="00F06766" w:rsidRPr="00F42D10" w:rsidRDefault="00F06766" w:rsidP="00F06766">
      <w:pPr>
        <w:pStyle w:val="ListParagraph"/>
        <w:numPr>
          <w:ilvl w:val="0"/>
          <w:numId w:val="36"/>
        </w:numPr>
        <w:snapToGrid w:val="0"/>
        <w:spacing w:after="120" w:line="288" w:lineRule="auto"/>
        <w:contextualSpacing/>
        <w:jc w:val="both"/>
        <w:rPr>
          <w:rFonts w:ascii="Times New Roman" w:hAnsi="Times New Roman" w:cs="Times New Roman"/>
          <w:sz w:val="20"/>
          <w:szCs w:val="20"/>
        </w:rPr>
      </w:pPr>
      <w:r w:rsidRPr="00F42D10">
        <w:rPr>
          <w:rFonts w:ascii="Times New Roman" w:hAnsi="Times New Roman" w:cs="Times New Roman"/>
          <w:sz w:val="20"/>
          <w:szCs w:val="20"/>
        </w:rPr>
        <w:t>Note</w:t>
      </w:r>
      <w:r w:rsidRPr="00F42D10">
        <w:rPr>
          <w:rFonts w:ascii="Times New Roman" w:hAnsi="Times New Roman" w:cs="Times New Roman"/>
          <w:b/>
          <w:sz w:val="20"/>
          <w:szCs w:val="20"/>
        </w:rPr>
        <w:t xml:space="preserve">: </w:t>
      </w:r>
      <w:r w:rsidRPr="00F42D10">
        <w:rPr>
          <w:rFonts w:ascii="Times New Roman" w:hAnsi="Times New Roman" w:cs="Times New Roman"/>
          <w:sz w:val="20"/>
          <w:szCs w:val="20"/>
        </w:rPr>
        <w:t xml:space="preserve">Baseline is interpreted as follows: when simulation is needed and/or justified, the agreed baseline constitutes the </w:t>
      </w:r>
      <w:r w:rsidRPr="00F42D10">
        <w:rPr>
          <w:rFonts w:ascii="Times New Roman" w:hAnsi="Times New Roman" w:cs="Times New Roman"/>
          <w:sz w:val="20"/>
          <w:szCs w:val="20"/>
          <w:u w:val="single"/>
        </w:rPr>
        <w:t xml:space="preserve">required minimum </w:t>
      </w:r>
      <w:r w:rsidRPr="00F42D10">
        <w:rPr>
          <w:rFonts w:ascii="Times New Roman" w:hAnsi="Times New Roman" w:cs="Times New Roman"/>
          <w:sz w:val="20"/>
          <w:szCs w:val="20"/>
        </w:rPr>
        <w:t>to be simulated</w:t>
      </w:r>
    </w:p>
    <w:p w14:paraId="0EF409B7" w14:textId="77777777" w:rsidR="00F06766" w:rsidRPr="00F42D10" w:rsidRDefault="00F06766" w:rsidP="00F06766">
      <w:pPr>
        <w:pStyle w:val="ListParagraph"/>
        <w:numPr>
          <w:ilvl w:val="1"/>
          <w:numId w:val="36"/>
        </w:numPr>
        <w:snapToGrid w:val="0"/>
        <w:spacing w:after="120" w:line="288" w:lineRule="auto"/>
        <w:contextualSpacing/>
        <w:jc w:val="both"/>
        <w:rPr>
          <w:rFonts w:ascii="Times New Roman" w:hAnsi="Times New Roman" w:cs="Times New Roman"/>
          <w:sz w:val="20"/>
          <w:szCs w:val="20"/>
        </w:rPr>
      </w:pPr>
      <w:r w:rsidRPr="00F42D10">
        <w:rPr>
          <w:rFonts w:ascii="Times New Roman" w:hAnsi="Times New Roman" w:cs="Times New Roman"/>
          <w:sz w:val="20"/>
          <w:szCs w:val="20"/>
        </w:rPr>
        <w:t>This does not preclude companies from providing additional simulation results with other set(s) of assumptions (e.g. # panels, traffic models, deployment scenarios) and/or types (e.g. LLS)</w:t>
      </w:r>
    </w:p>
    <w:p w14:paraId="43256B8D" w14:textId="77777777" w:rsidR="00F06766" w:rsidRPr="00F42D10" w:rsidRDefault="00F06766" w:rsidP="00F06766">
      <w:pPr>
        <w:pStyle w:val="ListParagraph"/>
        <w:snapToGrid w:val="0"/>
        <w:spacing w:after="120" w:line="288" w:lineRule="auto"/>
        <w:jc w:val="both"/>
        <w:rPr>
          <w:rFonts w:ascii="Times New Roman" w:hAnsi="Times New Roman" w:cs="Times New Roman"/>
          <w:sz w:val="20"/>
          <w:szCs w:val="20"/>
        </w:rPr>
      </w:pPr>
    </w:p>
    <w:p w14:paraId="0D9BD14C" w14:textId="77777777" w:rsidR="00F06766" w:rsidRPr="00024151" w:rsidRDefault="00F06766" w:rsidP="00F06766">
      <w:pPr>
        <w:snapToGrid w:val="0"/>
        <w:spacing w:after="120" w:line="288" w:lineRule="auto"/>
        <w:rPr>
          <w:sz w:val="20"/>
          <w:szCs w:val="20"/>
          <w:lang w:val="en-US"/>
        </w:rPr>
      </w:pPr>
      <w:r w:rsidRPr="00024151">
        <w:rPr>
          <w:b/>
          <w:sz w:val="20"/>
          <w:szCs w:val="20"/>
          <w:lang w:val="en-US"/>
        </w:rPr>
        <w:t xml:space="preserve">Proposal 2: </w:t>
      </w:r>
      <w:r w:rsidRPr="00024151">
        <w:rPr>
          <w:sz w:val="20"/>
          <w:szCs w:val="20"/>
          <w:lang w:val="en-US"/>
        </w:rPr>
        <w:t xml:space="preserve">The simulation assumptions are given below. Items that are the same as what has been agreed in Rel.16 are in </w:t>
      </w:r>
      <w:r w:rsidRPr="00024151">
        <w:rPr>
          <w:color w:val="00B050"/>
          <w:sz w:val="20"/>
          <w:szCs w:val="20"/>
          <w:lang w:val="en-US"/>
        </w:rPr>
        <w:t>green</w:t>
      </w:r>
      <w:r w:rsidRPr="00024151">
        <w:rPr>
          <w:sz w:val="20"/>
          <w:szCs w:val="20"/>
          <w:lang w:val="en-US"/>
        </w:rPr>
        <w:t xml:space="preserve"> </w:t>
      </w:r>
    </w:p>
    <w:p w14:paraId="2DB9189E" w14:textId="77777777" w:rsidR="00F06766" w:rsidRPr="00F42D10" w:rsidRDefault="00F06766" w:rsidP="00F06766">
      <w:pPr>
        <w:pStyle w:val="ListParagraph"/>
        <w:snapToGrid w:val="0"/>
        <w:spacing w:after="120" w:line="288" w:lineRule="auto"/>
        <w:rPr>
          <w:rFonts w:ascii="Times New Roman" w:hAnsi="Times New Roman" w:cs="Times New Roman"/>
          <w:b/>
          <w:sz w:val="20"/>
          <w:szCs w:val="20"/>
        </w:rPr>
      </w:pPr>
    </w:p>
    <w:p w14:paraId="30F22E3B" w14:textId="77777777" w:rsidR="00F06766" w:rsidRPr="00024151" w:rsidRDefault="00F06766" w:rsidP="00F06766">
      <w:pPr>
        <w:pStyle w:val="Caption"/>
        <w:jc w:val="center"/>
        <w:rPr>
          <w:rFonts w:ascii="Times New Roman" w:hAnsi="Times New Roman" w:cs="Times New Roman"/>
          <w:lang w:val="en-US"/>
        </w:rPr>
      </w:pPr>
      <w:r w:rsidRPr="00024151">
        <w:rPr>
          <w:rFonts w:ascii="Times New Roman" w:hAnsi="Times New Roman" w:cs="Times New Roman"/>
          <w:lang w:val="en-US"/>
        </w:rPr>
        <w:t xml:space="preserve">Table </w:t>
      </w:r>
      <w:r w:rsidRPr="00F42D10">
        <w:rPr>
          <w:rFonts w:ascii="Times New Roman" w:hAnsi="Times New Roman" w:cs="Times New Roman"/>
        </w:rPr>
        <w:fldChar w:fldCharType="begin"/>
      </w:r>
      <w:r w:rsidRPr="00024151">
        <w:rPr>
          <w:rFonts w:ascii="Times New Roman" w:hAnsi="Times New Roman" w:cs="Times New Roman"/>
          <w:lang w:val="en-US"/>
        </w:rPr>
        <w:instrText xml:space="preserve"> SEQ Table \* ARABIC </w:instrText>
      </w:r>
      <w:r w:rsidRPr="00F42D10">
        <w:rPr>
          <w:rFonts w:ascii="Times New Roman" w:hAnsi="Times New Roman" w:cs="Times New Roman"/>
        </w:rPr>
        <w:fldChar w:fldCharType="separate"/>
      </w:r>
      <w:r w:rsidRPr="00024151">
        <w:rPr>
          <w:rFonts w:ascii="Times New Roman" w:hAnsi="Times New Roman" w:cs="Times New Roman"/>
          <w:lang w:val="en-US"/>
        </w:rPr>
        <w:t>2</w:t>
      </w:r>
      <w:r w:rsidRPr="00F42D10">
        <w:rPr>
          <w:rFonts w:ascii="Times New Roman" w:hAnsi="Times New Roman" w:cs="Times New Roman"/>
        </w:rPr>
        <w:fldChar w:fldCharType="end"/>
      </w:r>
      <w:r w:rsidRPr="00024151">
        <w:rPr>
          <w:rFonts w:ascii="Times New Roman" w:hAnsi="Times New Roman" w:cs="Times New Roman"/>
          <w:lang w:val="en-US"/>
        </w:rPr>
        <w:t xml:space="preserve"> Baseline assumptions for SLS: common for intra-cell mobility and MPE/MP-UE</w:t>
      </w:r>
    </w:p>
    <w:tbl>
      <w:tblPr>
        <w:tblStyle w:val="TableGrid"/>
        <w:tblW w:w="9355" w:type="dxa"/>
        <w:tblLook w:val="04A0" w:firstRow="1" w:lastRow="0" w:firstColumn="1" w:lastColumn="0" w:noHBand="0" w:noVBand="1"/>
      </w:tblPr>
      <w:tblGrid>
        <w:gridCol w:w="2605"/>
        <w:gridCol w:w="6750"/>
      </w:tblGrid>
      <w:tr w:rsidR="00F06766" w:rsidRPr="00F42D10" w14:paraId="1AEC01C4" w14:textId="77777777" w:rsidTr="00F06766">
        <w:tc>
          <w:tcPr>
            <w:tcW w:w="2605" w:type="dxa"/>
            <w:shd w:val="clear" w:color="auto" w:fill="D5DCE4" w:themeFill="text2" w:themeFillTint="33"/>
          </w:tcPr>
          <w:p w14:paraId="55E45630" w14:textId="77777777" w:rsidR="00F06766" w:rsidRPr="00F42D10" w:rsidRDefault="00F06766" w:rsidP="00F06766">
            <w:pPr>
              <w:rPr>
                <w:b/>
                <w:sz w:val="20"/>
                <w:szCs w:val="20"/>
              </w:rPr>
            </w:pPr>
            <w:r w:rsidRPr="00F42D10">
              <w:rPr>
                <w:b/>
                <w:sz w:val="20"/>
                <w:szCs w:val="20"/>
              </w:rPr>
              <w:lastRenderedPageBreak/>
              <w:t>Parameters</w:t>
            </w:r>
          </w:p>
        </w:tc>
        <w:tc>
          <w:tcPr>
            <w:tcW w:w="6750" w:type="dxa"/>
            <w:shd w:val="clear" w:color="auto" w:fill="D5DCE4" w:themeFill="text2" w:themeFillTint="33"/>
          </w:tcPr>
          <w:p w14:paraId="33CB5797" w14:textId="77777777" w:rsidR="00F06766" w:rsidRPr="00F42D10" w:rsidRDefault="00F06766" w:rsidP="00F06766">
            <w:pPr>
              <w:rPr>
                <w:b/>
                <w:sz w:val="20"/>
                <w:szCs w:val="20"/>
              </w:rPr>
            </w:pPr>
            <w:r w:rsidRPr="00F42D10">
              <w:rPr>
                <w:b/>
                <w:sz w:val="20"/>
                <w:szCs w:val="20"/>
              </w:rPr>
              <w:t>Values</w:t>
            </w:r>
          </w:p>
        </w:tc>
      </w:tr>
      <w:tr w:rsidR="00F06766" w:rsidRPr="00F42D10" w14:paraId="4EDBA792" w14:textId="77777777" w:rsidTr="00F06766">
        <w:trPr>
          <w:trHeight w:val="377"/>
        </w:trPr>
        <w:tc>
          <w:tcPr>
            <w:tcW w:w="2605" w:type="dxa"/>
          </w:tcPr>
          <w:p w14:paraId="6B0C81BC" w14:textId="77777777" w:rsidR="00F06766" w:rsidRPr="00F42D10" w:rsidRDefault="00F06766" w:rsidP="00F06766">
            <w:pPr>
              <w:rPr>
                <w:sz w:val="20"/>
                <w:szCs w:val="20"/>
              </w:rPr>
            </w:pPr>
            <w:r w:rsidRPr="00F42D10">
              <w:rPr>
                <w:sz w:val="20"/>
                <w:szCs w:val="20"/>
              </w:rPr>
              <w:t>Frequency Range</w:t>
            </w:r>
          </w:p>
        </w:tc>
        <w:tc>
          <w:tcPr>
            <w:tcW w:w="6750" w:type="dxa"/>
          </w:tcPr>
          <w:p w14:paraId="59D9F8B7" w14:textId="77777777" w:rsidR="00F06766" w:rsidRPr="00F42D10" w:rsidRDefault="00F06766" w:rsidP="00F06766">
            <w:pPr>
              <w:rPr>
                <w:color w:val="00B050"/>
                <w:sz w:val="20"/>
                <w:szCs w:val="20"/>
              </w:rPr>
            </w:pPr>
            <w:r w:rsidRPr="00F42D10">
              <w:rPr>
                <w:color w:val="00B050"/>
                <w:sz w:val="20"/>
                <w:szCs w:val="20"/>
              </w:rPr>
              <w:t>FR2 @ 30 GHz,</w:t>
            </w:r>
          </w:p>
          <w:p w14:paraId="1A276238" w14:textId="77777777" w:rsidR="00F06766" w:rsidRPr="00F42D10" w:rsidRDefault="00F06766" w:rsidP="00F06766">
            <w:pPr>
              <w:pStyle w:val="ListParagraph"/>
              <w:numPr>
                <w:ilvl w:val="0"/>
                <w:numId w:val="33"/>
              </w:numPr>
              <w:spacing w:after="160"/>
              <w:contextualSpacing/>
              <w:rPr>
                <w:rFonts w:ascii="Times New Roman" w:hAnsi="Times New Roman" w:cs="Times New Roman"/>
                <w:color w:val="00B050"/>
                <w:sz w:val="20"/>
                <w:szCs w:val="20"/>
              </w:rPr>
            </w:pPr>
            <w:r w:rsidRPr="00F42D10">
              <w:rPr>
                <w:rFonts w:ascii="Times New Roman" w:hAnsi="Times New Roman" w:cs="Times New Roman"/>
                <w:color w:val="00B050"/>
                <w:sz w:val="20"/>
                <w:szCs w:val="20"/>
              </w:rPr>
              <w:t>SCS: 120 kHz</w:t>
            </w:r>
          </w:p>
          <w:p w14:paraId="73EFBABC" w14:textId="77777777" w:rsidR="00F06766" w:rsidRPr="00F42D10" w:rsidRDefault="00F06766" w:rsidP="00F06766">
            <w:pPr>
              <w:pStyle w:val="ListParagraph"/>
              <w:numPr>
                <w:ilvl w:val="0"/>
                <w:numId w:val="33"/>
              </w:numPr>
              <w:spacing w:after="160"/>
              <w:contextualSpacing/>
              <w:rPr>
                <w:rFonts w:ascii="Times New Roman" w:hAnsi="Times New Roman" w:cs="Times New Roman"/>
                <w:color w:val="00B050"/>
                <w:sz w:val="20"/>
                <w:szCs w:val="20"/>
              </w:rPr>
            </w:pPr>
            <w:r w:rsidRPr="00F42D10">
              <w:rPr>
                <w:rFonts w:ascii="Times New Roman" w:hAnsi="Times New Roman" w:cs="Times New Roman"/>
                <w:color w:val="00B050"/>
                <w:sz w:val="20"/>
                <w:szCs w:val="20"/>
              </w:rPr>
              <w:t>BW: 80 MHz</w:t>
            </w:r>
          </w:p>
        </w:tc>
      </w:tr>
      <w:tr w:rsidR="00F06766" w:rsidRPr="00024151" w14:paraId="0DDA7FF3" w14:textId="77777777" w:rsidTr="00F06766">
        <w:tc>
          <w:tcPr>
            <w:tcW w:w="2605" w:type="dxa"/>
          </w:tcPr>
          <w:p w14:paraId="5BB86DD2" w14:textId="77777777" w:rsidR="00F06766" w:rsidRPr="00F42D10" w:rsidRDefault="00F06766" w:rsidP="00F06766">
            <w:pPr>
              <w:rPr>
                <w:sz w:val="20"/>
                <w:szCs w:val="20"/>
              </w:rPr>
            </w:pPr>
            <w:r w:rsidRPr="00F42D10">
              <w:rPr>
                <w:sz w:val="20"/>
                <w:szCs w:val="20"/>
              </w:rPr>
              <w:t>Transmission Power</w:t>
            </w:r>
          </w:p>
        </w:tc>
        <w:tc>
          <w:tcPr>
            <w:tcW w:w="6750" w:type="dxa"/>
          </w:tcPr>
          <w:p w14:paraId="4D59ECB3" w14:textId="77777777" w:rsidR="00F06766" w:rsidRPr="00024151" w:rsidRDefault="00F06766" w:rsidP="00F06766">
            <w:pPr>
              <w:rPr>
                <w:sz w:val="20"/>
                <w:szCs w:val="20"/>
                <w:lang w:val="en-US"/>
              </w:rPr>
            </w:pPr>
            <w:r w:rsidRPr="00024151">
              <w:rPr>
                <w:sz w:val="20"/>
                <w:szCs w:val="20"/>
                <w:lang w:val="en-US"/>
              </w:rPr>
              <w:t>Maximum Power and Maximum EIRP for base station and UE as given by corresponding scenario in 38.802 (Table A.2.1-1 and Table A.2.1-2)</w:t>
            </w:r>
          </w:p>
        </w:tc>
      </w:tr>
      <w:tr w:rsidR="00F06766" w:rsidRPr="00024151" w14:paraId="73A8D57F" w14:textId="77777777" w:rsidTr="00F06766">
        <w:tc>
          <w:tcPr>
            <w:tcW w:w="2605" w:type="dxa"/>
          </w:tcPr>
          <w:p w14:paraId="126B367E" w14:textId="77777777" w:rsidR="00F06766" w:rsidRPr="00F42D10" w:rsidRDefault="00F06766" w:rsidP="00F06766">
            <w:pPr>
              <w:rPr>
                <w:sz w:val="20"/>
                <w:szCs w:val="20"/>
              </w:rPr>
            </w:pPr>
            <w:r w:rsidRPr="00F42D10">
              <w:rPr>
                <w:sz w:val="20"/>
                <w:szCs w:val="20"/>
              </w:rPr>
              <w:t>BS Antenna Configuration</w:t>
            </w:r>
          </w:p>
        </w:tc>
        <w:tc>
          <w:tcPr>
            <w:tcW w:w="6750" w:type="dxa"/>
          </w:tcPr>
          <w:p w14:paraId="36162F81" w14:textId="77777777" w:rsidR="00F06766" w:rsidRPr="00F42D10" w:rsidRDefault="00F06766" w:rsidP="00F06766">
            <w:pPr>
              <w:rPr>
                <w:sz w:val="20"/>
                <w:szCs w:val="20"/>
              </w:rPr>
            </w:pPr>
            <w:r w:rsidRPr="00F06766">
              <w:rPr>
                <w:sz w:val="20"/>
                <w:szCs w:val="20"/>
              </w:rPr>
              <w:t>(M, N, P, M</w:t>
            </w:r>
            <w:r w:rsidRPr="00F06766">
              <w:rPr>
                <w:sz w:val="20"/>
                <w:szCs w:val="20"/>
                <w:vertAlign w:val="subscript"/>
              </w:rPr>
              <w:t>g</w:t>
            </w:r>
            <w:r w:rsidRPr="00F06766">
              <w:rPr>
                <w:sz w:val="20"/>
                <w:szCs w:val="20"/>
              </w:rPr>
              <w:t>, N</w:t>
            </w:r>
            <w:r w:rsidRPr="00F06766">
              <w:rPr>
                <w:sz w:val="20"/>
                <w:szCs w:val="20"/>
                <w:vertAlign w:val="subscript"/>
              </w:rPr>
              <w:t>g</w:t>
            </w:r>
            <w:r w:rsidRPr="00F06766">
              <w:rPr>
                <w:sz w:val="20"/>
                <w:szCs w:val="20"/>
              </w:rPr>
              <w:t xml:space="preserve">) = (4, 8, 2, 2, 2). </w:t>
            </w:r>
            <w:r w:rsidRPr="00F42D10">
              <w:rPr>
                <w:sz w:val="20"/>
                <w:szCs w:val="20"/>
              </w:rPr>
              <w:t>(d</w:t>
            </w:r>
            <w:r w:rsidRPr="00F42D10">
              <w:rPr>
                <w:sz w:val="20"/>
                <w:szCs w:val="20"/>
                <w:vertAlign w:val="subscript"/>
              </w:rPr>
              <w:t>V</w:t>
            </w:r>
            <w:r w:rsidRPr="00F42D10">
              <w:rPr>
                <w:sz w:val="20"/>
                <w:szCs w:val="20"/>
              </w:rPr>
              <w:t>, d</w:t>
            </w:r>
            <w:r w:rsidRPr="00F42D10">
              <w:rPr>
                <w:sz w:val="20"/>
                <w:szCs w:val="20"/>
                <w:vertAlign w:val="subscript"/>
              </w:rPr>
              <w:t>H</w:t>
            </w:r>
            <w:r w:rsidRPr="00F42D10">
              <w:rPr>
                <w:sz w:val="20"/>
                <w:szCs w:val="20"/>
              </w:rPr>
              <w:t xml:space="preserve">) = (0.5, 0.5) </w:t>
            </w:r>
            <w:r w:rsidRPr="00F42D10">
              <w:rPr>
                <w:sz w:val="20"/>
                <w:szCs w:val="20"/>
                <w:lang w:val="en-GB"/>
              </w:rPr>
              <w:t>λ</w:t>
            </w:r>
            <w:r w:rsidRPr="00F42D10">
              <w:rPr>
                <w:sz w:val="20"/>
                <w:szCs w:val="20"/>
              </w:rPr>
              <w:t>. (d</w:t>
            </w:r>
            <w:r w:rsidRPr="00F42D10">
              <w:rPr>
                <w:sz w:val="20"/>
                <w:szCs w:val="20"/>
                <w:vertAlign w:val="subscript"/>
              </w:rPr>
              <w:t>g,V</w:t>
            </w:r>
            <w:r w:rsidRPr="00F42D10">
              <w:rPr>
                <w:sz w:val="20"/>
                <w:szCs w:val="20"/>
              </w:rPr>
              <w:t>, d</w:t>
            </w:r>
            <w:r w:rsidRPr="00F42D10">
              <w:rPr>
                <w:sz w:val="20"/>
                <w:szCs w:val="20"/>
                <w:vertAlign w:val="subscript"/>
              </w:rPr>
              <w:t>g,H</w:t>
            </w:r>
            <w:r w:rsidRPr="00F42D10">
              <w:rPr>
                <w:sz w:val="20"/>
                <w:szCs w:val="20"/>
              </w:rPr>
              <w:t xml:space="preserve">) = (2.0, 4.0) </w:t>
            </w:r>
            <w:r w:rsidRPr="00F42D10">
              <w:rPr>
                <w:sz w:val="20"/>
                <w:szCs w:val="20"/>
                <w:lang w:val="en-GB"/>
              </w:rPr>
              <w:t>λ</w:t>
            </w:r>
          </w:p>
          <w:p w14:paraId="0C293664" w14:textId="77777777" w:rsidR="00F06766" w:rsidRPr="00024151" w:rsidRDefault="00F06766" w:rsidP="00F06766">
            <w:pPr>
              <w:rPr>
                <w:color w:val="00B050"/>
                <w:sz w:val="20"/>
                <w:szCs w:val="20"/>
                <w:lang w:val="en-US"/>
              </w:rPr>
            </w:pPr>
            <w:r w:rsidRPr="00024151">
              <w:rPr>
                <w:color w:val="00B050"/>
                <w:sz w:val="20"/>
                <w:szCs w:val="20"/>
                <w:lang w:val="en-US"/>
              </w:rPr>
              <w:t>Companies to explain TXRU weights mapping.</w:t>
            </w:r>
          </w:p>
          <w:p w14:paraId="24185B98" w14:textId="77777777" w:rsidR="00F06766" w:rsidRPr="00024151" w:rsidRDefault="00F06766" w:rsidP="00F06766">
            <w:pPr>
              <w:rPr>
                <w:sz w:val="20"/>
                <w:szCs w:val="20"/>
                <w:lang w:val="en-US"/>
              </w:rPr>
            </w:pPr>
            <w:r w:rsidRPr="00024151">
              <w:rPr>
                <w:color w:val="00B050"/>
                <w:sz w:val="20"/>
                <w:szCs w:val="20"/>
                <w:lang w:val="en-US"/>
              </w:rPr>
              <w:t>Companies to explain beam selection</w:t>
            </w:r>
            <w:r w:rsidRPr="00024151">
              <w:rPr>
                <w:sz w:val="20"/>
                <w:szCs w:val="20"/>
                <w:lang w:val="en-US"/>
              </w:rPr>
              <w:t>.</w:t>
            </w:r>
          </w:p>
          <w:p w14:paraId="557E91B6" w14:textId="77777777" w:rsidR="00F06766" w:rsidRPr="00024151" w:rsidRDefault="00F06766" w:rsidP="00F06766">
            <w:pPr>
              <w:rPr>
                <w:sz w:val="20"/>
                <w:szCs w:val="20"/>
                <w:lang w:val="en-US"/>
              </w:rPr>
            </w:pPr>
            <w:r w:rsidRPr="00024151">
              <w:rPr>
                <w:color w:val="00B050"/>
                <w:sz w:val="20"/>
                <w:szCs w:val="20"/>
                <w:lang w:val="en-US"/>
              </w:rPr>
              <w:t>Companies to explain number of BS beams</w:t>
            </w:r>
          </w:p>
        </w:tc>
      </w:tr>
      <w:tr w:rsidR="00F06766" w:rsidRPr="00024151" w14:paraId="5A835B80" w14:textId="77777777" w:rsidTr="00F06766">
        <w:tc>
          <w:tcPr>
            <w:tcW w:w="2605" w:type="dxa"/>
          </w:tcPr>
          <w:p w14:paraId="2F1355EF" w14:textId="77777777" w:rsidR="00F06766" w:rsidRPr="00F42D10" w:rsidRDefault="00F06766" w:rsidP="00F06766">
            <w:pPr>
              <w:rPr>
                <w:sz w:val="20"/>
                <w:szCs w:val="20"/>
              </w:rPr>
            </w:pPr>
            <w:r w:rsidRPr="00F42D10">
              <w:rPr>
                <w:sz w:val="20"/>
                <w:szCs w:val="20"/>
              </w:rPr>
              <w:t>BS Antenna radiation pattern</w:t>
            </w:r>
          </w:p>
        </w:tc>
        <w:tc>
          <w:tcPr>
            <w:tcW w:w="6750" w:type="dxa"/>
          </w:tcPr>
          <w:p w14:paraId="13D481C7" w14:textId="77777777" w:rsidR="00F06766" w:rsidRPr="00024151" w:rsidRDefault="00F06766" w:rsidP="00F06766">
            <w:pPr>
              <w:rPr>
                <w:color w:val="00B050"/>
                <w:sz w:val="20"/>
                <w:szCs w:val="20"/>
                <w:lang w:val="en-US"/>
              </w:rPr>
            </w:pPr>
            <w:r w:rsidRPr="00024151">
              <w:rPr>
                <w:color w:val="00B050"/>
                <w:sz w:val="20"/>
                <w:szCs w:val="20"/>
                <w:lang w:val="en-US"/>
              </w:rPr>
              <w:t>TR 38.802 Table A.2.1-6, Table A.2.1-7</w:t>
            </w:r>
          </w:p>
        </w:tc>
      </w:tr>
      <w:tr w:rsidR="00F06766" w:rsidRPr="00024151" w14:paraId="50C18D06" w14:textId="77777777" w:rsidTr="00F06766">
        <w:tc>
          <w:tcPr>
            <w:tcW w:w="2605" w:type="dxa"/>
          </w:tcPr>
          <w:p w14:paraId="7C5A1DC8" w14:textId="77777777" w:rsidR="00F06766" w:rsidRPr="00F42D10" w:rsidRDefault="00F06766" w:rsidP="00F06766">
            <w:pPr>
              <w:rPr>
                <w:sz w:val="20"/>
                <w:szCs w:val="20"/>
              </w:rPr>
            </w:pPr>
            <w:r w:rsidRPr="00F42D10">
              <w:rPr>
                <w:sz w:val="20"/>
                <w:szCs w:val="20"/>
              </w:rPr>
              <w:t>UE Antenna Configuration</w:t>
            </w:r>
          </w:p>
        </w:tc>
        <w:tc>
          <w:tcPr>
            <w:tcW w:w="6750" w:type="dxa"/>
          </w:tcPr>
          <w:p w14:paraId="28356B28" w14:textId="77777777" w:rsidR="00F06766" w:rsidRPr="00024151" w:rsidRDefault="00F06766" w:rsidP="00F06766">
            <w:pPr>
              <w:rPr>
                <w:sz w:val="20"/>
                <w:szCs w:val="20"/>
                <w:lang w:val="en-US"/>
              </w:rPr>
            </w:pPr>
            <w:r w:rsidRPr="00024151">
              <w:rPr>
                <w:sz w:val="20"/>
                <w:szCs w:val="20"/>
                <w:lang w:val="en-US"/>
              </w:rPr>
              <w:t xml:space="preserve">Number/location of panels: 3 panels (left, right, and back) </w:t>
            </w:r>
          </w:p>
          <w:p w14:paraId="245CADC8" w14:textId="77777777" w:rsidR="00F06766" w:rsidRPr="00024151" w:rsidRDefault="00F06766" w:rsidP="00F06766">
            <w:pPr>
              <w:rPr>
                <w:sz w:val="20"/>
                <w:szCs w:val="20"/>
                <w:lang w:val="en-US"/>
              </w:rPr>
            </w:pPr>
            <w:r w:rsidRPr="00024151">
              <w:rPr>
                <w:sz w:val="20"/>
                <w:szCs w:val="20"/>
                <w:lang w:val="en-US"/>
              </w:rPr>
              <w:t xml:space="preserve">Panel structure: 1x4x2 or (M, N, P) = (1, 4, 2), </w:t>
            </w:r>
            <w:proofErr w:type="spellStart"/>
            <w:r w:rsidRPr="00024151">
              <w:rPr>
                <w:sz w:val="20"/>
                <w:szCs w:val="20"/>
                <w:lang w:val="en-US"/>
              </w:rPr>
              <w:t>d</w:t>
            </w:r>
            <w:r w:rsidRPr="00024151">
              <w:rPr>
                <w:sz w:val="20"/>
                <w:szCs w:val="20"/>
                <w:vertAlign w:val="subscript"/>
                <w:lang w:val="en-US"/>
              </w:rPr>
              <w:t>H</w:t>
            </w:r>
            <w:proofErr w:type="spellEnd"/>
            <w:r w:rsidRPr="00024151">
              <w:rPr>
                <w:sz w:val="20"/>
                <w:szCs w:val="20"/>
                <w:lang w:val="en-US"/>
              </w:rPr>
              <w:t xml:space="preserve"> = 0.5 </w:t>
            </w:r>
            <w:r w:rsidRPr="00F42D10">
              <w:rPr>
                <w:sz w:val="20"/>
                <w:szCs w:val="20"/>
                <w:lang w:val="en-GB"/>
              </w:rPr>
              <w:t>λ</w:t>
            </w:r>
            <w:r w:rsidRPr="00024151">
              <w:rPr>
                <w:sz w:val="20"/>
                <w:szCs w:val="20"/>
                <w:lang w:val="en-US"/>
              </w:rPr>
              <w:t xml:space="preserve"> </w:t>
            </w:r>
          </w:p>
          <w:p w14:paraId="128399BE" w14:textId="77777777" w:rsidR="00F06766" w:rsidRPr="00024151" w:rsidRDefault="00F06766" w:rsidP="00F06766">
            <w:pPr>
              <w:rPr>
                <w:sz w:val="20"/>
                <w:szCs w:val="20"/>
                <w:lang w:val="en-US"/>
              </w:rPr>
            </w:pPr>
            <w:r w:rsidRPr="00024151">
              <w:rPr>
                <w:sz w:val="20"/>
                <w:szCs w:val="20"/>
                <w:lang w:val="en-US"/>
              </w:rPr>
              <w:t>Companies to explain TXRU weights mapping.</w:t>
            </w:r>
          </w:p>
          <w:p w14:paraId="5DADB775" w14:textId="77777777" w:rsidR="00F06766" w:rsidRPr="00024151" w:rsidRDefault="00F06766" w:rsidP="00F06766">
            <w:pPr>
              <w:rPr>
                <w:sz w:val="20"/>
                <w:szCs w:val="20"/>
                <w:lang w:val="en-US"/>
              </w:rPr>
            </w:pPr>
            <w:r w:rsidRPr="00024151">
              <w:rPr>
                <w:sz w:val="20"/>
                <w:szCs w:val="20"/>
                <w:lang w:val="en-US"/>
              </w:rPr>
              <w:t>Companies to explain beam and panel selection.</w:t>
            </w:r>
          </w:p>
          <w:p w14:paraId="6C63EE80" w14:textId="77777777" w:rsidR="00F06766" w:rsidRPr="00024151" w:rsidRDefault="00F06766" w:rsidP="00F06766">
            <w:pPr>
              <w:rPr>
                <w:sz w:val="20"/>
                <w:szCs w:val="20"/>
                <w:lang w:val="en-US"/>
              </w:rPr>
            </w:pPr>
            <w:r w:rsidRPr="00024151">
              <w:rPr>
                <w:color w:val="00B050"/>
                <w:sz w:val="20"/>
                <w:szCs w:val="20"/>
                <w:lang w:val="en-US"/>
              </w:rPr>
              <w:t>Companies to explain number of UE beams</w:t>
            </w:r>
          </w:p>
        </w:tc>
      </w:tr>
      <w:tr w:rsidR="00F06766" w:rsidRPr="00024151" w14:paraId="3F117CEF" w14:textId="77777777" w:rsidTr="00F06766">
        <w:tc>
          <w:tcPr>
            <w:tcW w:w="2605" w:type="dxa"/>
          </w:tcPr>
          <w:p w14:paraId="2C4C0802" w14:textId="77777777" w:rsidR="00F06766" w:rsidRPr="00F42D10" w:rsidRDefault="00F06766" w:rsidP="00F06766">
            <w:pPr>
              <w:rPr>
                <w:sz w:val="20"/>
                <w:szCs w:val="20"/>
              </w:rPr>
            </w:pPr>
            <w:r w:rsidRPr="00F42D10">
              <w:rPr>
                <w:sz w:val="20"/>
                <w:szCs w:val="20"/>
              </w:rPr>
              <w:t>UE Antenna radiation pattern</w:t>
            </w:r>
          </w:p>
        </w:tc>
        <w:tc>
          <w:tcPr>
            <w:tcW w:w="6750" w:type="dxa"/>
          </w:tcPr>
          <w:p w14:paraId="7BDBEC9F" w14:textId="77777777" w:rsidR="00F06766" w:rsidRPr="00024151" w:rsidRDefault="00F06766" w:rsidP="00F06766">
            <w:pPr>
              <w:rPr>
                <w:sz w:val="20"/>
                <w:szCs w:val="20"/>
                <w:lang w:val="en-US"/>
              </w:rPr>
            </w:pPr>
            <w:r w:rsidRPr="00024151">
              <w:rPr>
                <w:color w:val="00B050"/>
                <w:sz w:val="20"/>
                <w:szCs w:val="20"/>
                <w:lang w:val="en-US"/>
              </w:rPr>
              <w:t>TR 38.802 Table A.2.1-8</w:t>
            </w:r>
            <w:r w:rsidRPr="00024151">
              <w:rPr>
                <w:sz w:val="20"/>
                <w:szCs w:val="20"/>
                <w:lang w:val="en-US"/>
              </w:rPr>
              <w:t>, Table A.2.1-10</w:t>
            </w:r>
          </w:p>
        </w:tc>
      </w:tr>
      <w:tr w:rsidR="00F06766" w:rsidRPr="00024151" w14:paraId="2F21D9D0" w14:textId="77777777" w:rsidTr="00F06766">
        <w:tc>
          <w:tcPr>
            <w:tcW w:w="2605" w:type="dxa"/>
          </w:tcPr>
          <w:p w14:paraId="1CF2A954" w14:textId="77777777" w:rsidR="00F06766" w:rsidRPr="00F42D10" w:rsidRDefault="00F06766" w:rsidP="00F06766">
            <w:pPr>
              <w:rPr>
                <w:sz w:val="20"/>
                <w:szCs w:val="20"/>
              </w:rPr>
            </w:pPr>
            <w:r w:rsidRPr="00F42D10">
              <w:rPr>
                <w:sz w:val="20"/>
                <w:szCs w:val="20"/>
              </w:rPr>
              <w:t>Beam correspondence</w:t>
            </w:r>
          </w:p>
        </w:tc>
        <w:tc>
          <w:tcPr>
            <w:tcW w:w="6750" w:type="dxa"/>
          </w:tcPr>
          <w:p w14:paraId="2456C074" w14:textId="77777777" w:rsidR="00F06766" w:rsidRPr="00024151" w:rsidRDefault="00F06766" w:rsidP="00F06766">
            <w:pPr>
              <w:rPr>
                <w:sz w:val="20"/>
                <w:szCs w:val="20"/>
                <w:lang w:val="en-US"/>
              </w:rPr>
            </w:pPr>
            <w:r w:rsidRPr="00024151">
              <w:rPr>
                <w:color w:val="00B050"/>
                <w:sz w:val="20"/>
                <w:szCs w:val="20"/>
                <w:lang w:val="en-US"/>
              </w:rPr>
              <w:t>Companies to explain beam correspondence assumptions (in accordance to the two types agreed in RAN4)</w:t>
            </w:r>
          </w:p>
        </w:tc>
      </w:tr>
      <w:tr w:rsidR="00F06766" w:rsidRPr="00F42D10" w14:paraId="62A5630A" w14:textId="77777777" w:rsidTr="00F06766">
        <w:tc>
          <w:tcPr>
            <w:tcW w:w="2605" w:type="dxa"/>
          </w:tcPr>
          <w:p w14:paraId="40ADD8D4" w14:textId="77777777" w:rsidR="00F06766" w:rsidRPr="00F42D10" w:rsidRDefault="00F06766" w:rsidP="00F06766">
            <w:pPr>
              <w:rPr>
                <w:sz w:val="20"/>
                <w:szCs w:val="20"/>
              </w:rPr>
            </w:pPr>
            <w:r w:rsidRPr="00F42D10">
              <w:rPr>
                <w:sz w:val="20"/>
                <w:szCs w:val="20"/>
              </w:rPr>
              <w:t>Link adaptation</w:t>
            </w:r>
          </w:p>
        </w:tc>
        <w:tc>
          <w:tcPr>
            <w:tcW w:w="6750" w:type="dxa"/>
          </w:tcPr>
          <w:p w14:paraId="686415CE" w14:textId="77777777" w:rsidR="00F06766" w:rsidRPr="00F42D10" w:rsidRDefault="00F06766" w:rsidP="00F06766">
            <w:pPr>
              <w:rPr>
                <w:sz w:val="20"/>
                <w:szCs w:val="20"/>
              </w:rPr>
            </w:pPr>
            <w:r w:rsidRPr="00F42D10">
              <w:rPr>
                <w:color w:val="00B050"/>
                <w:sz w:val="20"/>
                <w:szCs w:val="20"/>
              </w:rPr>
              <w:t>Based on CSI-RS</w:t>
            </w:r>
          </w:p>
        </w:tc>
      </w:tr>
      <w:tr w:rsidR="00F06766" w:rsidRPr="00F42D10" w14:paraId="13514D7A" w14:textId="77777777" w:rsidTr="00F06766">
        <w:tc>
          <w:tcPr>
            <w:tcW w:w="2605" w:type="dxa"/>
          </w:tcPr>
          <w:p w14:paraId="7DD5635A" w14:textId="77777777" w:rsidR="00F06766" w:rsidRPr="00F42D10" w:rsidRDefault="00F06766" w:rsidP="00F06766">
            <w:pPr>
              <w:rPr>
                <w:sz w:val="20"/>
                <w:szCs w:val="20"/>
              </w:rPr>
            </w:pPr>
            <w:r w:rsidRPr="00F42D10">
              <w:rPr>
                <w:sz w:val="20"/>
                <w:szCs w:val="20"/>
              </w:rPr>
              <w:t>Traffic Model</w:t>
            </w:r>
          </w:p>
        </w:tc>
        <w:tc>
          <w:tcPr>
            <w:tcW w:w="6750" w:type="dxa"/>
          </w:tcPr>
          <w:p w14:paraId="7E516309" w14:textId="77777777" w:rsidR="00F06766" w:rsidRPr="00F42D10" w:rsidRDefault="00F06766" w:rsidP="00F06766">
            <w:pPr>
              <w:rPr>
                <w:sz w:val="20"/>
                <w:szCs w:val="20"/>
              </w:rPr>
            </w:pPr>
            <w:r w:rsidRPr="00F42D10">
              <w:rPr>
                <w:sz w:val="20"/>
                <w:szCs w:val="20"/>
              </w:rPr>
              <w:t>Full buffer</w:t>
            </w:r>
          </w:p>
        </w:tc>
      </w:tr>
      <w:tr w:rsidR="00F06766" w:rsidRPr="00CB7A06" w14:paraId="27B737BF" w14:textId="77777777" w:rsidTr="00F06766">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1608E1" w14:textId="77777777" w:rsidR="00F06766" w:rsidRPr="00F42D10" w:rsidRDefault="00F06766" w:rsidP="00F06766">
            <w:pPr>
              <w:rPr>
                <w:rFonts w:eastAsia="Malgun Gothic"/>
                <w:color w:val="000000"/>
                <w:kern w:val="24"/>
                <w:sz w:val="20"/>
                <w:szCs w:val="20"/>
                <w:lang w:val="en-GB"/>
              </w:rPr>
            </w:pPr>
            <w:r w:rsidRPr="00F42D10">
              <w:rPr>
                <w:rFonts w:eastAsia="Malgun Gothic"/>
                <w:color w:val="000000"/>
                <w:kern w:val="24"/>
                <w:sz w:val="20"/>
                <w:szCs w:val="20"/>
                <w:lang w:val="en-GB"/>
              </w:rPr>
              <w:t>Inter-panel calibration for UE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5F651F" w14:textId="77777777" w:rsidR="00F06766" w:rsidRPr="00F42D10" w:rsidRDefault="00F06766" w:rsidP="00F06766">
            <w:pPr>
              <w:rPr>
                <w:rFonts w:eastAsia="Malgun Gothic"/>
                <w:color w:val="00B050"/>
                <w:kern w:val="24"/>
                <w:sz w:val="20"/>
                <w:szCs w:val="20"/>
                <w:lang w:val="en-GB"/>
              </w:rPr>
            </w:pPr>
            <w:r w:rsidRPr="00F42D10">
              <w:rPr>
                <w:rFonts w:eastAsia="Malgun Gothic"/>
                <w:color w:val="000000" w:themeColor="text1"/>
                <w:kern w:val="24"/>
                <w:sz w:val="20"/>
                <w:szCs w:val="20"/>
                <w:lang w:val="en-GB"/>
              </w:rPr>
              <w:t>Ideal, non-ideal following 38.802 (optional) – Explain any errors</w:t>
            </w:r>
          </w:p>
        </w:tc>
      </w:tr>
      <w:tr w:rsidR="00F06766" w:rsidRPr="00024151" w14:paraId="682B70CA" w14:textId="77777777" w:rsidTr="00F06766">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E259ED" w14:textId="77777777" w:rsidR="00F06766" w:rsidRPr="00F42D10" w:rsidRDefault="00F06766" w:rsidP="00F06766">
            <w:pPr>
              <w:rPr>
                <w:sz w:val="20"/>
                <w:szCs w:val="20"/>
              </w:rPr>
            </w:pPr>
            <w:r w:rsidRPr="00F42D10">
              <w:rPr>
                <w:rFonts w:eastAsia="Malgun Gothic"/>
                <w:color w:val="000000"/>
                <w:kern w:val="24"/>
                <w:sz w:val="20"/>
                <w:szCs w:val="20"/>
                <w:lang w:val="en-GB"/>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A0B423" w14:textId="77777777" w:rsidR="00F06766" w:rsidRPr="00024151" w:rsidRDefault="00F06766" w:rsidP="00F06766">
            <w:pPr>
              <w:rPr>
                <w:color w:val="00B050"/>
                <w:sz w:val="20"/>
                <w:szCs w:val="20"/>
                <w:lang w:val="en-US"/>
              </w:rPr>
            </w:pPr>
            <w:r w:rsidRPr="00F42D10">
              <w:rPr>
                <w:rFonts w:eastAsia="Malgun Gothic"/>
                <w:color w:val="00B050"/>
                <w:kern w:val="24"/>
                <w:sz w:val="20"/>
                <w:szCs w:val="20"/>
                <w:lang w:val="en-GB"/>
              </w:rPr>
              <w:t xml:space="preserve">Companies report details of the assumptions </w:t>
            </w:r>
          </w:p>
        </w:tc>
      </w:tr>
      <w:tr w:rsidR="00F06766" w:rsidRPr="00024151" w14:paraId="23926A8B" w14:textId="77777777" w:rsidTr="00F06766">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92D98F" w14:textId="77777777" w:rsidR="00F06766" w:rsidRPr="00F42D10" w:rsidRDefault="00F06766" w:rsidP="00F06766">
            <w:pPr>
              <w:rPr>
                <w:sz w:val="20"/>
                <w:szCs w:val="20"/>
              </w:rPr>
            </w:pPr>
            <w:r w:rsidRPr="00F42D10">
              <w:rPr>
                <w:rFonts w:eastAsia="Malgun Gothic"/>
                <w:color w:val="000000"/>
                <w:kern w:val="24"/>
                <w:sz w:val="20"/>
                <w:szCs w:val="20"/>
                <w:lang w:val="en-GB"/>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B13D88" w14:textId="77777777" w:rsidR="00F06766" w:rsidRPr="00024151" w:rsidRDefault="00F06766" w:rsidP="00F06766">
            <w:pPr>
              <w:rPr>
                <w:color w:val="00B050"/>
                <w:sz w:val="20"/>
                <w:szCs w:val="20"/>
                <w:lang w:val="en-US"/>
              </w:rPr>
            </w:pPr>
            <w:r w:rsidRPr="00F42D10">
              <w:rPr>
                <w:rFonts w:eastAsia="Malgun Gothic"/>
                <w:color w:val="00B050"/>
                <w:kern w:val="24"/>
                <w:sz w:val="20"/>
                <w:szCs w:val="20"/>
                <w:lang w:val="en-GB"/>
              </w:rPr>
              <w:t>Ideal or Non-ideal (Companies explain how it is modelled)</w:t>
            </w:r>
          </w:p>
        </w:tc>
      </w:tr>
      <w:tr w:rsidR="00F06766" w:rsidRPr="00024151" w14:paraId="0F51B9DE" w14:textId="77777777" w:rsidTr="00F06766">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0E0BB2" w14:textId="77777777" w:rsidR="00F06766" w:rsidRPr="00F42D10" w:rsidRDefault="00F06766" w:rsidP="00F06766">
            <w:pPr>
              <w:rPr>
                <w:sz w:val="20"/>
                <w:szCs w:val="20"/>
              </w:rPr>
            </w:pPr>
            <w:r w:rsidRPr="00F42D10">
              <w:rPr>
                <w:rFonts w:eastAsia="Malgun Gothic"/>
                <w:color w:val="000000"/>
                <w:kern w:val="24"/>
                <w:sz w:val="20"/>
                <w:szCs w:val="20"/>
                <w:lang w:val="en-GB"/>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E38428" w14:textId="77777777" w:rsidR="00F06766" w:rsidRPr="00024151" w:rsidRDefault="00F06766" w:rsidP="00F06766">
            <w:pPr>
              <w:rPr>
                <w:color w:val="00B050"/>
                <w:sz w:val="20"/>
                <w:szCs w:val="20"/>
                <w:lang w:val="en-US"/>
              </w:rPr>
            </w:pPr>
            <w:r w:rsidRPr="00F42D10">
              <w:rPr>
                <w:rFonts w:eastAsia="Malgun Gothic"/>
                <w:color w:val="00B050"/>
                <w:kern w:val="24"/>
                <w:sz w:val="20"/>
                <w:szCs w:val="20"/>
                <w:lang w:val="en-GB"/>
              </w:rPr>
              <w:t>MMSE-IRC as the baseline, other advanced receiver is not precluded</w:t>
            </w:r>
          </w:p>
        </w:tc>
      </w:tr>
      <w:tr w:rsidR="00F06766" w:rsidRPr="00024151" w14:paraId="421C0F5F" w14:textId="77777777" w:rsidTr="00F06766">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542A20" w14:textId="77777777" w:rsidR="00F06766" w:rsidRPr="00F42D10" w:rsidRDefault="00F06766" w:rsidP="00F06766">
            <w:pPr>
              <w:rPr>
                <w:sz w:val="20"/>
                <w:szCs w:val="20"/>
              </w:rPr>
            </w:pPr>
            <w:r w:rsidRPr="00F42D10">
              <w:rPr>
                <w:rFonts w:eastAsia="Malgun Gothic"/>
                <w:color w:val="000000"/>
                <w:kern w:val="24"/>
                <w:sz w:val="20"/>
                <w:szCs w:val="20"/>
                <w:lang w:val="en-GB"/>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E0FB79" w14:textId="77777777" w:rsidR="00F06766" w:rsidRPr="00024151" w:rsidRDefault="00F06766" w:rsidP="00F06766">
            <w:pPr>
              <w:rPr>
                <w:color w:val="00B050"/>
                <w:sz w:val="20"/>
                <w:szCs w:val="20"/>
                <w:lang w:val="en-US"/>
              </w:rPr>
            </w:pPr>
            <w:r w:rsidRPr="00F42D10">
              <w:rPr>
                <w:rFonts w:eastAsia="Malgun Gothic"/>
                <w:color w:val="00B050"/>
                <w:kern w:val="24"/>
                <w:sz w:val="20"/>
                <w:szCs w:val="20"/>
                <w:lang w:val="en-GB"/>
              </w:rPr>
              <w:t>Companies explain what scheme is used</w:t>
            </w:r>
          </w:p>
        </w:tc>
      </w:tr>
      <w:tr w:rsidR="00F06766" w:rsidRPr="00024151" w14:paraId="54176A31" w14:textId="77777777" w:rsidTr="00F06766">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86951D" w14:textId="77777777" w:rsidR="00F06766" w:rsidRPr="00F42D10" w:rsidRDefault="00F06766" w:rsidP="00F06766">
            <w:pPr>
              <w:rPr>
                <w:sz w:val="20"/>
                <w:szCs w:val="20"/>
              </w:rPr>
            </w:pPr>
            <w:r w:rsidRPr="00F42D10">
              <w:rPr>
                <w:rFonts w:eastAsia="Malgun Gothic"/>
                <w:color w:val="000000"/>
                <w:kern w:val="24"/>
                <w:sz w:val="20"/>
                <w:szCs w:val="20"/>
                <w:lang w:val="en-GB"/>
              </w:rPr>
              <w:t>Transmission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135F10" w14:textId="77777777" w:rsidR="00F06766" w:rsidRPr="00F42D10" w:rsidRDefault="00F06766" w:rsidP="00F06766">
            <w:pPr>
              <w:pStyle w:val="NormalWeb"/>
              <w:spacing w:before="0" w:beforeAutospacing="0" w:after="0" w:afterAutospacing="0" w:line="256" w:lineRule="auto"/>
              <w:rPr>
                <w:color w:val="00B050"/>
                <w:sz w:val="20"/>
                <w:szCs w:val="20"/>
              </w:rPr>
            </w:pPr>
            <w:r w:rsidRPr="00F42D10">
              <w:rPr>
                <w:rFonts w:eastAsia="Malgun Gothic"/>
                <w:color w:val="00B050"/>
                <w:kern w:val="24"/>
                <w:sz w:val="20"/>
                <w:szCs w:val="20"/>
                <w:lang w:val="en-GB"/>
              </w:rPr>
              <w:t>Multi-antenna port transmission schemes</w:t>
            </w:r>
          </w:p>
          <w:p w14:paraId="4132C75F" w14:textId="77777777" w:rsidR="00F06766" w:rsidRPr="00024151" w:rsidRDefault="00F06766" w:rsidP="00F06766">
            <w:pPr>
              <w:rPr>
                <w:color w:val="00B050"/>
                <w:sz w:val="20"/>
                <w:szCs w:val="20"/>
                <w:lang w:val="en-US"/>
              </w:rPr>
            </w:pPr>
            <w:r w:rsidRPr="00F42D10">
              <w:rPr>
                <w:rFonts w:eastAsia="Malgun Gothic"/>
                <w:color w:val="00B050"/>
                <w:kern w:val="24"/>
                <w:sz w:val="20"/>
                <w:szCs w:val="20"/>
                <w:lang w:val="en-GB"/>
              </w:rPr>
              <w:t>Note: Companies explain details of the using transmission scheme.</w:t>
            </w:r>
          </w:p>
        </w:tc>
      </w:tr>
      <w:tr w:rsidR="00F06766" w:rsidRPr="00024151" w14:paraId="05F944B8" w14:textId="77777777" w:rsidTr="00F06766">
        <w:tc>
          <w:tcPr>
            <w:tcW w:w="2605" w:type="dxa"/>
          </w:tcPr>
          <w:p w14:paraId="2151BC1C" w14:textId="77777777" w:rsidR="00F06766" w:rsidRPr="00F42D10" w:rsidRDefault="00F06766" w:rsidP="00F06766">
            <w:pPr>
              <w:rPr>
                <w:sz w:val="20"/>
                <w:szCs w:val="20"/>
              </w:rPr>
            </w:pPr>
            <w:r w:rsidRPr="00F42D10">
              <w:rPr>
                <w:sz w:val="20"/>
                <w:szCs w:val="20"/>
              </w:rPr>
              <w:t>Other simulation assumptions</w:t>
            </w:r>
          </w:p>
        </w:tc>
        <w:tc>
          <w:tcPr>
            <w:tcW w:w="6750" w:type="dxa"/>
          </w:tcPr>
          <w:p w14:paraId="57AA3DA3" w14:textId="77777777" w:rsidR="00F06766" w:rsidRPr="00024151" w:rsidRDefault="00F06766" w:rsidP="00F06766">
            <w:pPr>
              <w:rPr>
                <w:sz w:val="20"/>
                <w:szCs w:val="20"/>
                <w:lang w:val="en-US"/>
              </w:rPr>
            </w:pPr>
            <w:r w:rsidRPr="00024151">
              <w:rPr>
                <w:color w:val="00B050"/>
                <w:sz w:val="20"/>
                <w:szCs w:val="20"/>
                <w:lang w:val="en-US"/>
              </w:rPr>
              <w:t>Companies to explain serving TRP selection</w:t>
            </w:r>
          </w:p>
          <w:p w14:paraId="390B6A49" w14:textId="77777777" w:rsidR="00F06766" w:rsidRPr="00024151" w:rsidRDefault="00F06766" w:rsidP="00F06766">
            <w:pPr>
              <w:rPr>
                <w:color w:val="00B050"/>
                <w:sz w:val="20"/>
                <w:szCs w:val="20"/>
                <w:lang w:val="en-US"/>
              </w:rPr>
            </w:pPr>
            <w:r w:rsidRPr="00024151">
              <w:rPr>
                <w:color w:val="00B050"/>
                <w:sz w:val="20"/>
                <w:szCs w:val="20"/>
                <w:lang w:val="en-US"/>
              </w:rPr>
              <w:t>Companies to explain scheduling algorithm</w:t>
            </w:r>
          </w:p>
        </w:tc>
      </w:tr>
      <w:tr w:rsidR="00F06766" w:rsidRPr="00F42D10" w14:paraId="40BDAD7A" w14:textId="77777777" w:rsidTr="00F06766">
        <w:tc>
          <w:tcPr>
            <w:tcW w:w="2605" w:type="dxa"/>
          </w:tcPr>
          <w:p w14:paraId="46CE0449" w14:textId="77777777" w:rsidR="00F06766" w:rsidRPr="00F42D10" w:rsidRDefault="00F06766" w:rsidP="00F06766">
            <w:pPr>
              <w:rPr>
                <w:sz w:val="20"/>
                <w:szCs w:val="20"/>
              </w:rPr>
            </w:pPr>
            <w:r w:rsidRPr="00F42D10">
              <w:rPr>
                <w:sz w:val="20"/>
                <w:szCs w:val="20"/>
              </w:rPr>
              <w:t>Algorithm details (when applicable)</w:t>
            </w:r>
          </w:p>
        </w:tc>
        <w:tc>
          <w:tcPr>
            <w:tcW w:w="6750" w:type="dxa"/>
          </w:tcPr>
          <w:p w14:paraId="68873C42" w14:textId="77777777" w:rsidR="00F06766" w:rsidRPr="00F42D10" w:rsidRDefault="00F06766" w:rsidP="00F06766">
            <w:pPr>
              <w:rPr>
                <w:sz w:val="20"/>
                <w:szCs w:val="20"/>
              </w:rPr>
            </w:pPr>
            <w:r w:rsidRPr="00F42D10">
              <w:rPr>
                <w:sz w:val="20"/>
                <w:szCs w:val="20"/>
              </w:rPr>
              <w:t>Companies to report:</w:t>
            </w:r>
          </w:p>
          <w:p w14:paraId="271FA4B7" w14:textId="77777777" w:rsidR="00F06766" w:rsidRPr="00F42D10" w:rsidRDefault="00F06766" w:rsidP="00F06766">
            <w:pPr>
              <w:pStyle w:val="ListParagraph"/>
              <w:numPr>
                <w:ilvl w:val="0"/>
                <w:numId w:val="33"/>
              </w:numPr>
              <w:spacing w:after="160"/>
              <w:contextualSpacing/>
              <w:rPr>
                <w:rFonts w:ascii="Times New Roman" w:hAnsi="Times New Roman" w:cs="Times New Roman"/>
                <w:sz w:val="20"/>
                <w:szCs w:val="20"/>
              </w:rPr>
            </w:pPr>
            <w:r w:rsidRPr="00F42D10">
              <w:rPr>
                <w:rFonts w:ascii="Times New Roman" w:hAnsi="Times New Roman" w:cs="Times New Roman"/>
                <w:sz w:val="20"/>
                <w:szCs w:val="20"/>
              </w:rPr>
              <w:t>Beam reporting mechanism</w:t>
            </w:r>
          </w:p>
          <w:p w14:paraId="03FEDA2C" w14:textId="77777777" w:rsidR="00F06766" w:rsidRPr="00F42D10" w:rsidRDefault="00F06766" w:rsidP="00F06766">
            <w:pPr>
              <w:pStyle w:val="ListParagraph"/>
              <w:numPr>
                <w:ilvl w:val="0"/>
                <w:numId w:val="33"/>
              </w:numPr>
              <w:spacing w:after="160"/>
              <w:contextualSpacing/>
              <w:rPr>
                <w:rFonts w:ascii="Times New Roman" w:hAnsi="Times New Roman" w:cs="Times New Roman"/>
                <w:sz w:val="20"/>
                <w:szCs w:val="20"/>
              </w:rPr>
            </w:pPr>
            <w:r w:rsidRPr="00F42D10">
              <w:rPr>
                <w:rFonts w:ascii="Times New Roman" w:hAnsi="Times New Roman" w:cs="Times New Roman"/>
                <w:sz w:val="20"/>
                <w:szCs w:val="20"/>
              </w:rPr>
              <w:t>Beam metric L1-RSRP; L1-SINR is optional</w:t>
            </w:r>
          </w:p>
          <w:p w14:paraId="63048DB8" w14:textId="77777777" w:rsidR="00F06766" w:rsidRPr="00F42D10" w:rsidRDefault="00F06766" w:rsidP="00F06766">
            <w:pPr>
              <w:pStyle w:val="ListParagraph"/>
              <w:numPr>
                <w:ilvl w:val="0"/>
                <w:numId w:val="33"/>
              </w:numPr>
              <w:spacing w:after="160"/>
              <w:contextualSpacing/>
              <w:rPr>
                <w:rFonts w:ascii="Times New Roman" w:hAnsi="Times New Roman" w:cs="Times New Roman"/>
                <w:sz w:val="20"/>
                <w:szCs w:val="20"/>
              </w:rPr>
            </w:pPr>
            <w:r w:rsidRPr="00F42D10">
              <w:rPr>
                <w:rFonts w:ascii="Times New Roman" w:hAnsi="Times New Roman" w:cs="Times New Roman"/>
                <w:sz w:val="20"/>
                <w:szCs w:val="20"/>
              </w:rPr>
              <w:t>Number of active panels</w:t>
            </w:r>
          </w:p>
        </w:tc>
      </w:tr>
    </w:tbl>
    <w:p w14:paraId="47B4EECC" w14:textId="77777777" w:rsidR="00F06766" w:rsidRPr="00F42D10" w:rsidRDefault="00F06766" w:rsidP="00F06766">
      <w:pPr>
        <w:snapToGrid w:val="0"/>
        <w:spacing w:after="120"/>
        <w:rPr>
          <w:sz w:val="20"/>
          <w:szCs w:val="20"/>
        </w:rPr>
      </w:pPr>
    </w:p>
    <w:p w14:paraId="0339DAE9" w14:textId="77777777" w:rsidR="00F06766" w:rsidRPr="00024151" w:rsidRDefault="00F06766" w:rsidP="00F06766">
      <w:pPr>
        <w:pStyle w:val="Caption"/>
        <w:jc w:val="center"/>
        <w:rPr>
          <w:rFonts w:ascii="Times New Roman" w:hAnsi="Times New Roman" w:cs="Times New Roman"/>
          <w:lang w:val="en-US"/>
        </w:rPr>
      </w:pPr>
      <w:r w:rsidRPr="00024151">
        <w:rPr>
          <w:rFonts w:ascii="Times New Roman" w:hAnsi="Times New Roman" w:cs="Times New Roman"/>
          <w:lang w:val="en-US"/>
        </w:rPr>
        <w:lastRenderedPageBreak/>
        <w:t xml:space="preserve">Table </w:t>
      </w:r>
      <w:r w:rsidRPr="00F42D10">
        <w:rPr>
          <w:rFonts w:ascii="Times New Roman" w:hAnsi="Times New Roman" w:cs="Times New Roman"/>
        </w:rPr>
        <w:fldChar w:fldCharType="begin"/>
      </w:r>
      <w:r w:rsidRPr="00024151">
        <w:rPr>
          <w:rFonts w:ascii="Times New Roman" w:hAnsi="Times New Roman" w:cs="Times New Roman"/>
          <w:lang w:val="en-US"/>
        </w:rPr>
        <w:instrText xml:space="preserve"> SEQ Table \* ARABIC </w:instrText>
      </w:r>
      <w:r w:rsidRPr="00F42D10">
        <w:rPr>
          <w:rFonts w:ascii="Times New Roman" w:hAnsi="Times New Roman" w:cs="Times New Roman"/>
        </w:rPr>
        <w:fldChar w:fldCharType="separate"/>
      </w:r>
      <w:r w:rsidRPr="00024151">
        <w:rPr>
          <w:rFonts w:ascii="Times New Roman" w:hAnsi="Times New Roman" w:cs="Times New Roman"/>
          <w:lang w:val="en-US"/>
        </w:rPr>
        <w:t>3</w:t>
      </w:r>
      <w:r w:rsidRPr="00F42D10">
        <w:rPr>
          <w:rFonts w:ascii="Times New Roman" w:hAnsi="Times New Roman" w:cs="Times New Roman"/>
        </w:rPr>
        <w:fldChar w:fldCharType="end"/>
      </w:r>
      <w:r w:rsidRPr="00024151">
        <w:rPr>
          <w:rFonts w:ascii="Times New Roman" w:hAnsi="Times New Roman" w:cs="Times New Roman"/>
          <w:lang w:val="en-US"/>
        </w:rPr>
        <w:t xml:space="preserve"> Baseline assumptions for SLS: Intra-cell mobility scenarios</w:t>
      </w:r>
    </w:p>
    <w:tbl>
      <w:tblPr>
        <w:tblStyle w:val="TableGrid"/>
        <w:tblW w:w="9355" w:type="dxa"/>
        <w:tblLook w:val="04A0" w:firstRow="1" w:lastRow="0" w:firstColumn="1" w:lastColumn="0" w:noHBand="0" w:noVBand="1"/>
      </w:tblPr>
      <w:tblGrid>
        <w:gridCol w:w="2245"/>
        <w:gridCol w:w="7110"/>
      </w:tblGrid>
      <w:tr w:rsidR="00F06766" w:rsidRPr="00F42D10" w14:paraId="0818214B" w14:textId="77777777" w:rsidTr="00F06766">
        <w:tc>
          <w:tcPr>
            <w:tcW w:w="2245" w:type="dxa"/>
            <w:shd w:val="clear" w:color="auto" w:fill="D5DCE4" w:themeFill="text2" w:themeFillTint="33"/>
          </w:tcPr>
          <w:p w14:paraId="5D8FC51B" w14:textId="77777777" w:rsidR="00F06766" w:rsidRPr="00F42D10" w:rsidRDefault="00F06766" w:rsidP="00F06766">
            <w:pPr>
              <w:rPr>
                <w:b/>
                <w:sz w:val="20"/>
                <w:szCs w:val="20"/>
              </w:rPr>
            </w:pPr>
            <w:r w:rsidRPr="00F42D10">
              <w:rPr>
                <w:b/>
                <w:sz w:val="20"/>
                <w:szCs w:val="20"/>
              </w:rPr>
              <w:t>Parameters</w:t>
            </w:r>
          </w:p>
        </w:tc>
        <w:tc>
          <w:tcPr>
            <w:tcW w:w="7110" w:type="dxa"/>
            <w:shd w:val="clear" w:color="auto" w:fill="D5DCE4" w:themeFill="text2" w:themeFillTint="33"/>
          </w:tcPr>
          <w:p w14:paraId="6F8979F2" w14:textId="77777777" w:rsidR="00F06766" w:rsidRPr="00F42D10" w:rsidRDefault="00F06766" w:rsidP="00F06766">
            <w:pPr>
              <w:rPr>
                <w:b/>
                <w:sz w:val="20"/>
                <w:szCs w:val="20"/>
              </w:rPr>
            </w:pPr>
            <w:r w:rsidRPr="00F42D10">
              <w:rPr>
                <w:b/>
                <w:sz w:val="20"/>
                <w:szCs w:val="20"/>
              </w:rPr>
              <w:t>Values</w:t>
            </w:r>
          </w:p>
        </w:tc>
      </w:tr>
      <w:tr w:rsidR="00F06766" w:rsidRPr="00CB7A06" w14:paraId="1829117A" w14:textId="77777777" w:rsidTr="00F06766">
        <w:trPr>
          <w:trHeight w:val="377"/>
        </w:trPr>
        <w:tc>
          <w:tcPr>
            <w:tcW w:w="2245" w:type="dxa"/>
          </w:tcPr>
          <w:p w14:paraId="20C1EEC6" w14:textId="77777777" w:rsidR="00F06766" w:rsidRPr="00F42D10" w:rsidRDefault="00F06766" w:rsidP="00F06766">
            <w:pPr>
              <w:rPr>
                <w:sz w:val="20"/>
                <w:szCs w:val="20"/>
              </w:rPr>
            </w:pPr>
            <w:r w:rsidRPr="00F42D10">
              <w:rPr>
                <w:sz w:val="20"/>
                <w:szCs w:val="20"/>
              </w:rPr>
              <w:t>Scenarios</w:t>
            </w:r>
          </w:p>
        </w:tc>
        <w:tc>
          <w:tcPr>
            <w:tcW w:w="7110" w:type="dxa"/>
          </w:tcPr>
          <w:p w14:paraId="4AF1E211" w14:textId="77777777" w:rsidR="00F06766" w:rsidRPr="00F42D10" w:rsidRDefault="00F06766" w:rsidP="00F06766">
            <w:pPr>
              <w:rPr>
                <w:sz w:val="20"/>
                <w:szCs w:val="20"/>
              </w:rPr>
            </w:pPr>
            <w:r w:rsidRPr="00F42D10">
              <w:rPr>
                <w:sz w:val="20"/>
                <w:szCs w:val="20"/>
              </w:rPr>
              <w:t>High speed @FR2:</w:t>
            </w:r>
          </w:p>
          <w:p w14:paraId="3C7A9299" w14:textId="77777777" w:rsidR="00F06766" w:rsidRPr="00F42D10" w:rsidRDefault="00F06766" w:rsidP="00F06766">
            <w:pPr>
              <w:pStyle w:val="ListParagraph"/>
              <w:numPr>
                <w:ilvl w:val="0"/>
                <w:numId w:val="34"/>
              </w:numPr>
              <w:spacing w:after="160"/>
              <w:contextualSpacing/>
              <w:rPr>
                <w:rFonts w:ascii="Times New Roman" w:hAnsi="Times New Roman" w:cs="Times New Roman"/>
                <w:sz w:val="20"/>
                <w:szCs w:val="20"/>
              </w:rPr>
            </w:pPr>
            <w:r w:rsidRPr="00F42D10">
              <w:rPr>
                <w:rFonts w:ascii="Times New Roman" w:hAnsi="Times New Roman" w:cs="Times New Roman"/>
                <w:sz w:val="20"/>
                <w:szCs w:val="20"/>
              </w:rPr>
              <w:t>Dense Urban (macro-layer only, TR 38.913) @FR2, 200m ISD, 2-tier model with wrap-around (7 sites, 3 sectors</w:t>
            </w:r>
            <w:r>
              <w:rPr>
                <w:rFonts w:ascii="Times New Roman" w:hAnsi="Times New Roman" w:cs="Times New Roman"/>
                <w:sz w:val="20"/>
                <w:szCs w:val="20"/>
              </w:rPr>
              <w:t>/cells</w:t>
            </w:r>
            <w:r w:rsidRPr="00F42D10">
              <w:rPr>
                <w:rFonts w:ascii="Times New Roman" w:hAnsi="Times New Roman" w:cs="Times New Roman"/>
                <w:sz w:val="20"/>
                <w:szCs w:val="20"/>
              </w:rPr>
              <w:t xml:space="preserve"> per site), 100% outdoor</w:t>
            </w:r>
          </w:p>
          <w:p w14:paraId="4556CB0D" w14:textId="77777777" w:rsidR="00F06766" w:rsidRPr="00F42D10" w:rsidRDefault="00F06766" w:rsidP="00F06766">
            <w:pPr>
              <w:pStyle w:val="ListParagraph"/>
              <w:numPr>
                <w:ilvl w:val="1"/>
                <w:numId w:val="34"/>
              </w:numPr>
              <w:spacing w:after="160"/>
              <w:contextualSpacing/>
              <w:rPr>
                <w:rFonts w:ascii="Times New Roman" w:hAnsi="Times New Roman" w:cs="Times New Roman"/>
                <w:sz w:val="20"/>
                <w:szCs w:val="20"/>
              </w:rPr>
            </w:pPr>
            <w:r w:rsidRPr="00F42D10">
              <w:rPr>
                <w:rFonts w:ascii="Times New Roman" w:hAnsi="Times New Roman" w:cs="Times New Roman"/>
                <w:sz w:val="20"/>
                <w:szCs w:val="20"/>
              </w:rPr>
              <w:t>2 UEs are dropped for each of the 7 sites (see mobility description below)</w:t>
            </w:r>
          </w:p>
          <w:p w14:paraId="2DB898E6" w14:textId="77777777" w:rsidR="00F06766" w:rsidRPr="00F42D10" w:rsidRDefault="00F06766" w:rsidP="00F06766">
            <w:pPr>
              <w:pStyle w:val="ListParagraph"/>
              <w:numPr>
                <w:ilvl w:val="0"/>
                <w:numId w:val="34"/>
              </w:numPr>
              <w:spacing w:after="160"/>
              <w:contextualSpacing/>
              <w:rPr>
                <w:rFonts w:ascii="Times New Roman" w:hAnsi="Times New Roman" w:cs="Times New Roman"/>
                <w:sz w:val="20"/>
                <w:szCs w:val="20"/>
              </w:rPr>
            </w:pPr>
            <w:r w:rsidRPr="00F42D10">
              <w:rPr>
                <w:rFonts w:ascii="Times New Roman" w:hAnsi="Times New Roman" w:cs="Times New Roman"/>
                <w:sz w:val="20"/>
                <w:szCs w:val="20"/>
              </w:rPr>
              <w:t>High speed train (TR 38.802/38.913) @FR2</w:t>
            </w:r>
          </w:p>
          <w:p w14:paraId="1DCE8DF7" w14:textId="77777777" w:rsidR="00F06766" w:rsidRPr="00F42D10" w:rsidRDefault="00F06766" w:rsidP="00F06766">
            <w:pPr>
              <w:pStyle w:val="ListParagraph"/>
              <w:numPr>
                <w:ilvl w:val="1"/>
                <w:numId w:val="34"/>
              </w:numPr>
              <w:spacing w:after="160"/>
              <w:contextualSpacing/>
              <w:rPr>
                <w:rFonts w:ascii="Times New Roman" w:hAnsi="Times New Roman" w:cs="Times New Roman"/>
                <w:sz w:val="20"/>
                <w:szCs w:val="20"/>
              </w:rPr>
            </w:pPr>
            <w:r w:rsidRPr="00F42D10">
              <w:rPr>
                <w:rFonts w:ascii="Times New Roman" w:hAnsi="Times New Roman" w:cs="Times New Roman"/>
                <w:sz w:val="20"/>
                <w:szCs w:val="20"/>
              </w:rPr>
              <w:t xml:space="preserve">Companies explain the number of dropped UEs </w:t>
            </w:r>
          </w:p>
        </w:tc>
      </w:tr>
      <w:tr w:rsidR="00F06766" w:rsidRPr="00F42D10" w14:paraId="6A7E24AB" w14:textId="77777777" w:rsidTr="00F06766">
        <w:trPr>
          <w:trHeight w:val="377"/>
        </w:trPr>
        <w:tc>
          <w:tcPr>
            <w:tcW w:w="2245" w:type="dxa"/>
          </w:tcPr>
          <w:p w14:paraId="7A903980" w14:textId="77777777" w:rsidR="00F06766" w:rsidRPr="00F42D10" w:rsidRDefault="00F06766" w:rsidP="00F06766">
            <w:pPr>
              <w:rPr>
                <w:sz w:val="20"/>
                <w:szCs w:val="20"/>
              </w:rPr>
            </w:pPr>
            <w:r w:rsidRPr="00F42D10">
              <w:rPr>
                <w:sz w:val="20"/>
                <w:szCs w:val="20"/>
              </w:rPr>
              <w:t>UE Speed</w:t>
            </w:r>
          </w:p>
        </w:tc>
        <w:tc>
          <w:tcPr>
            <w:tcW w:w="7110" w:type="dxa"/>
          </w:tcPr>
          <w:p w14:paraId="09FAEEF2" w14:textId="77777777" w:rsidR="00F06766" w:rsidRPr="00024151" w:rsidRDefault="00F06766" w:rsidP="00F06766">
            <w:pPr>
              <w:rPr>
                <w:sz w:val="20"/>
                <w:szCs w:val="20"/>
                <w:lang w:val="en-US"/>
              </w:rPr>
            </w:pPr>
            <w:r w:rsidRPr="00024151">
              <w:rPr>
                <w:sz w:val="20"/>
                <w:szCs w:val="20"/>
                <w:lang w:val="en-US"/>
              </w:rPr>
              <w:t xml:space="preserve">For Dense Urban: </w:t>
            </w:r>
            <w:r w:rsidRPr="00024151" w:rsidDel="00083D1C">
              <w:rPr>
                <w:sz w:val="20"/>
                <w:szCs w:val="20"/>
                <w:lang w:val="en-US"/>
              </w:rPr>
              <w:t xml:space="preserve"> </w:t>
            </w:r>
            <w:r w:rsidRPr="00024151">
              <w:rPr>
                <w:sz w:val="20"/>
                <w:szCs w:val="20"/>
                <w:lang w:val="en-US"/>
              </w:rPr>
              <w:t>60 km/</w:t>
            </w:r>
            <w:proofErr w:type="spellStart"/>
            <w:r w:rsidRPr="00024151">
              <w:rPr>
                <w:sz w:val="20"/>
                <w:szCs w:val="20"/>
                <w:lang w:val="en-US"/>
              </w:rPr>
              <w:t>hr</w:t>
            </w:r>
            <w:proofErr w:type="spellEnd"/>
            <w:r w:rsidRPr="00024151">
              <w:rPr>
                <w:sz w:val="20"/>
                <w:szCs w:val="20"/>
                <w:lang w:val="en-US"/>
              </w:rPr>
              <w:t xml:space="preserve"> and 120 km/</w:t>
            </w:r>
            <w:proofErr w:type="spellStart"/>
            <w:r w:rsidRPr="00024151">
              <w:rPr>
                <w:sz w:val="20"/>
                <w:szCs w:val="20"/>
                <w:lang w:val="en-US"/>
              </w:rPr>
              <w:t>hr</w:t>
            </w:r>
            <w:proofErr w:type="spellEnd"/>
            <w:r w:rsidRPr="00024151">
              <w:rPr>
                <w:sz w:val="20"/>
                <w:szCs w:val="20"/>
                <w:lang w:val="en-US"/>
              </w:rPr>
              <w:t xml:space="preserve">  </w:t>
            </w:r>
          </w:p>
          <w:p w14:paraId="7AAD6EBC" w14:textId="77777777" w:rsidR="00F06766" w:rsidRPr="00F42D10" w:rsidRDefault="00F06766" w:rsidP="00F06766">
            <w:pPr>
              <w:rPr>
                <w:sz w:val="20"/>
                <w:szCs w:val="20"/>
              </w:rPr>
            </w:pPr>
            <w:r w:rsidRPr="00F42D10">
              <w:rPr>
                <w:sz w:val="20"/>
                <w:szCs w:val="20"/>
              </w:rPr>
              <w:t xml:space="preserve">For HST: 256 km/hr </w:t>
            </w:r>
          </w:p>
        </w:tc>
      </w:tr>
      <w:tr w:rsidR="00F06766" w:rsidRPr="00024151" w14:paraId="2A551A50" w14:textId="77777777" w:rsidTr="00F06766">
        <w:trPr>
          <w:trHeight w:val="377"/>
        </w:trPr>
        <w:tc>
          <w:tcPr>
            <w:tcW w:w="2245" w:type="dxa"/>
          </w:tcPr>
          <w:p w14:paraId="0451B66D" w14:textId="77777777" w:rsidR="00F06766" w:rsidRPr="00024151" w:rsidRDefault="00F06766" w:rsidP="00F06766">
            <w:pPr>
              <w:rPr>
                <w:sz w:val="20"/>
                <w:szCs w:val="20"/>
                <w:lang w:val="en-US"/>
              </w:rPr>
            </w:pPr>
            <w:r w:rsidRPr="00024151">
              <w:rPr>
                <w:sz w:val="20"/>
                <w:szCs w:val="20"/>
                <w:lang w:val="en-US"/>
              </w:rPr>
              <w:t xml:space="preserve">UE Mobility and trajectory handling </w:t>
            </w:r>
          </w:p>
        </w:tc>
        <w:tc>
          <w:tcPr>
            <w:tcW w:w="7110" w:type="dxa"/>
          </w:tcPr>
          <w:p w14:paraId="4DD02234" w14:textId="77777777" w:rsidR="00F06766" w:rsidRPr="00024151" w:rsidRDefault="00F06766" w:rsidP="00F06766">
            <w:pPr>
              <w:rPr>
                <w:sz w:val="20"/>
                <w:szCs w:val="20"/>
                <w:lang w:val="en-US"/>
              </w:rPr>
            </w:pPr>
            <w:r w:rsidRPr="00024151">
              <w:rPr>
                <w:sz w:val="20"/>
                <w:szCs w:val="20"/>
                <w:lang w:val="en-US"/>
              </w:rPr>
              <w:t>Linear trajectory, intra-cell mobility (constrained within one cell)</w:t>
            </w:r>
          </w:p>
          <w:p w14:paraId="44BCFDFB" w14:textId="77777777" w:rsidR="00F06766" w:rsidRPr="00024151" w:rsidRDefault="00F06766" w:rsidP="00F06766">
            <w:pPr>
              <w:rPr>
                <w:sz w:val="20"/>
                <w:szCs w:val="20"/>
                <w:lang w:val="en-US"/>
              </w:rPr>
            </w:pPr>
          </w:p>
          <w:p w14:paraId="21685EE7" w14:textId="77777777" w:rsidR="00F06766" w:rsidRPr="00F06766" w:rsidRDefault="00F06766" w:rsidP="00F06766">
            <w:pPr>
              <w:rPr>
                <w:sz w:val="20"/>
                <w:szCs w:val="20"/>
              </w:rPr>
            </w:pPr>
            <w:r w:rsidRPr="00F06766">
              <w:rPr>
                <w:sz w:val="20"/>
                <w:szCs w:val="20"/>
                <w:u w:val="single"/>
              </w:rPr>
              <w:t>Dense Urban</w:t>
            </w:r>
            <w:r w:rsidRPr="00F06766">
              <w:rPr>
                <w:sz w:val="20"/>
                <w:szCs w:val="20"/>
              </w:rPr>
              <w:t>:</w:t>
            </w:r>
          </w:p>
          <w:p w14:paraId="3C0D79CB" w14:textId="77777777" w:rsidR="00F06766" w:rsidRPr="00F06766" w:rsidRDefault="00F06766" w:rsidP="00F06766">
            <w:pPr>
              <w:rPr>
                <w:sz w:val="18"/>
              </w:rPr>
            </w:pPr>
          </w:p>
          <w:p w14:paraId="6C062B39" w14:textId="77777777" w:rsidR="00F06766" w:rsidRPr="00F06766" w:rsidRDefault="00F06766" w:rsidP="00F06766">
            <w:r>
              <w:rPr>
                <w:noProof/>
              </w:rPr>
              <w:object w:dxaOrig="7351" w:dyaOrig="6316" w14:anchorId="38807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8pt;height:187.6pt" o:ole="">
                  <v:imagedata r:id="rId12" o:title=""/>
                </v:shape>
                <o:OLEObject Type="Embed" ProgID="Visio.Drawing.15" ShapeID="_x0000_i1025" DrawAspect="Content" ObjectID="_1658326183" r:id="rId13"/>
              </w:object>
            </w:r>
            <w:r w:rsidRPr="00F06766">
              <w:t xml:space="preserve">  </w:t>
            </w:r>
          </w:p>
          <w:p w14:paraId="43B518AD" w14:textId="77777777" w:rsidR="00F06766" w:rsidRPr="00F06766" w:rsidRDefault="00F06766" w:rsidP="00F06766"/>
          <w:p w14:paraId="15807F24" w14:textId="77777777" w:rsidR="00F06766" w:rsidRPr="00024151" w:rsidRDefault="00F06766" w:rsidP="00F06766">
            <w:pPr>
              <w:jc w:val="both"/>
              <w:rPr>
                <w:sz w:val="20"/>
                <w:szCs w:val="20"/>
                <w:lang w:val="en-US"/>
              </w:rPr>
            </w:pPr>
            <w:r w:rsidRPr="00024151">
              <w:rPr>
                <w:sz w:val="20"/>
                <w:szCs w:val="20"/>
                <w:lang w:val="en-US"/>
              </w:rPr>
              <w:t>For each of the 21 cells: Two UEs (UE1 and UE2) are dropped as follows:</w:t>
            </w:r>
          </w:p>
          <w:p w14:paraId="7D9A36D4" w14:textId="77777777" w:rsidR="00F06766" w:rsidRPr="00024151" w:rsidRDefault="00F06766" w:rsidP="00F06766">
            <w:pPr>
              <w:jc w:val="both"/>
              <w:rPr>
                <w:sz w:val="20"/>
                <w:szCs w:val="20"/>
                <w:lang w:val="en-US"/>
              </w:rPr>
            </w:pPr>
            <w:r w:rsidRPr="00024151">
              <w:rPr>
                <w:sz w:val="20"/>
                <w:szCs w:val="20"/>
                <w:lang w:val="en-US"/>
              </w:rPr>
              <w:t>There are four possible starting locations P, Q, R, and S as illustrated above for the upper right sector/cell (can be extended analogously to the upper left and lower sectors/cells, see Appendix) where d=30m and x=4m.</w:t>
            </w:r>
          </w:p>
          <w:p w14:paraId="20367068" w14:textId="77777777" w:rsidR="00F06766" w:rsidRPr="00024151" w:rsidRDefault="00F06766" w:rsidP="00F06766">
            <w:pPr>
              <w:jc w:val="both"/>
              <w:rPr>
                <w:sz w:val="20"/>
                <w:szCs w:val="20"/>
                <w:lang w:val="en-US"/>
              </w:rPr>
            </w:pPr>
          </w:p>
          <w:p w14:paraId="63831654" w14:textId="77777777" w:rsidR="00F06766" w:rsidRPr="00024151" w:rsidRDefault="00F06766" w:rsidP="00F06766">
            <w:pPr>
              <w:jc w:val="both"/>
              <w:rPr>
                <w:sz w:val="20"/>
                <w:szCs w:val="20"/>
                <w:lang w:val="en-US"/>
              </w:rPr>
            </w:pPr>
            <w:r w:rsidRPr="00024151">
              <w:rPr>
                <w:sz w:val="20"/>
                <w:szCs w:val="20"/>
                <w:lang w:val="en-US"/>
              </w:rPr>
              <w:t>There are two possible randomly selected trajectory lines for each of the UE1 and UE2:</w:t>
            </w:r>
          </w:p>
          <w:p w14:paraId="36FC7879" w14:textId="77777777" w:rsidR="00F06766" w:rsidRPr="00F42D10" w:rsidRDefault="00F06766" w:rsidP="00F06766">
            <w:pPr>
              <w:pStyle w:val="ListParagraph"/>
              <w:numPr>
                <w:ilvl w:val="0"/>
                <w:numId w:val="40"/>
              </w:numPr>
              <w:spacing w:after="160"/>
              <w:contextualSpacing/>
              <w:jc w:val="both"/>
              <w:rPr>
                <w:rFonts w:ascii="Times New Roman" w:hAnsi="Times New Roman" w:cs="Times New Roman"/>
                <w:sz w:val="20"/>
                <w:szCs w:val="20"/>
              </w:rPr>
            </w:pPr>
            <w:r w:rsidRPr="00F42D10">
              <w:rPr>
                <w:rFonts w:ascii="Times New Roman" w:hAnsi="Times New Roman" w:cs="Times New Roman"/>
                <w:sz w:val="20"/>
                <w:szCs w:val="20"/>
              </w:rPr>
              <w:t>Tr1: A UE starts at either P or S</w:t>
            </w:r>
            <w:r>
              <w:rPr>
                <w:rFonts w:ascii="Times New Roman" w:hAnsi="Times New Roman" w:cs="Times New Roman"/>
                <w:sz w:val="20"/>
                <w:szCs w:val="20"/>
              </w:rPr>
              <w:t>,</w:t>
            </w:r>
            <w:r w:rsidRPr="00F42D10">
              <w:rPr>
                <w:rFonts w:ascii="Times New Roman" w:hAnsi="Times New Roman" w:cs="Times New Roman"/>
                <w:sz w:val="20"/>
                <w:szCs w:val="20"/>
              </w:rPr>
              <w:t xml:space="preserve"> and moves </w:t>
            </w:r>
            <w:r>
              <w:rPr>
                <w:rFonts w:ascii="Times New Roman" w:hAnsi="Times New Roman" w:cs="Times New Roman"/>
                <w:sz w:val="20"/>
                <w:szCs w:val="20"/>
              </w:rPr>
              <w:t>along the 120-deg line</w:t>
            </w:r>
            <w:r w:rsidRPr="00F42D10">
              <w:rPr>
                <w:rFonts w:ascii="Times New Roman" w:hAnsi="Times New Roman" w:cs="Times New Roman"/>
                <w:sz w:val="20"/>
                <w:szCs w:val="20"/>
              </w:rPr>
              <w:t xml:space="preserve"> downward</w:t>
            </w:r>
          </w:p>
          <w:p w14:paraId="0EA67946" w14:textId="77777777" w:rsidR="00F06766" w:rsidRPr="00F42D10" w:rsidRDefault="00F06766" w:rsidP="00F06766">
            <w:pPr>
              <w:pStyle w:val="ListParagraph"/>
              <w:numPr>
                <w:ilvl w:val="0"/>
                <w:numId w:val="40"/>
              </w:numPr>
              <w:spacing w:after="160"/>
              <w:contextualSpacing/>
              <w:jc w:val="both"/>
              <w:rPr>
                <w:rFonts w:ascii="Times New Roman" w:hAnsi="Times New Roman" w:cs="Times New Roman"/>
                <w:sz w:val="20"/>
                <w:szCs w:val="20"/>
              </w:rPr>
            </w:pPr>
            <w:r w:rsidRPr="00F42D10">
              <w:rPr>
                <w:rFonts w:ascii="Times New Roman" w:hAnsi="Times New Roman" w:cs="Times New Roman"/>
                <w:sz w:val="20"/>
                <w:szCs w:val="20"/>
              </w:rPr>
              <w:t>Tr2: A UE starts at either R or Q</w:t>
            </w:r>
            <w:r>
              <w:rPr>
                <w:rFonts w:ascii="Times New Roman" w:hAnsi="Times New Roman" w:cs="Times New Roman"/>
                <w:sz w:val="20"/>
                <w:szCs w:val="20"/>
              </w:rPr>
              <w:t>,</w:t>
            </w:r>
            <w:r w:rsidRPr="00F42D10">
              <w:rPr>
                <w:rFonts w:ascii="Times New Roman" w:hAnsi="Times New Roman" w:cs="Times New Roman"/>
                <w:sz w:val="20"/>
                <w:szCs w:val="20"/>
              </w:rPr>
              <w:t xml:space="preserve"> and moves </w:t>
            </w:r>
            <w:r>
              <w:rPr>
                <w:rFonts w:ascii="Times New Roman" w:hAnsi="Times New Roman" w:cs="Times New Roman"/>
                <w:sz w:val="20"/>
                <w:szCs w:val="20"/>
              </w:rPr>
              <w:t xml:space="preserve">along the 120-deg line </w:t>
            </w:r>
            <w:r w:rsidRPr="00F42D10">
              <w:rPr>
                <w:rFonts w:ascii="Times New Roman" w:hAnsi="Times New Roman" w:cs="Times New Roman"/>
                <w:sz w:val="20"/>
                <w:szCs w:val="20"/>
              </w:rPr>
              <w:t>upward</w:t>
            </w:r>
          </w:p>
          <w:p w14:paraId="23873891" w14:textId="77777777" w:rsidR="00F06766" w:rsidRPr="00024151" w:rsidRDefault="00F06766" w:rsidP="00F06766">
            <w:pPr>
              <w:ind w:left="360"/>
              <w:jc w:val="both"/>
              <w:rPr>
                <w:sz w:val="20"/>
                <w:szCs w:val="20"/>
                <w:lang w:val="en-US"/>
              </w:rPr>
            </w:pPr>
          </w:p>
          <w:p w14:paraId="1591C6C1" w14:textId="77777777" w:rsidR="00F06766" w:rsidRPr="00024151" w:rsidRDefault="00F06766" w:rsidP="00F06766">
            <w:pPr>
              <w:jc w:val="both"/>
              <w:rPr>
                <w:sz w:val="20"/>
                <w:szCs w:val="20"/>
                <w:lang w:val="en-US"/>
              </w:rPr>
            </w:pPr>
            <w:r w:rsidRPr="00024151">
              <w:rPr>
                <w:sz w:val="20"/>
                <w:szCs w:val="20"/>
                <w:lang w:val="en-US"/>
              </w:rPr>
              <w:t xml:space="preserve">The two trajectories are selected such that UE1 and UE2 do not collide. </w:t>
            </w:r>
          </w:p>
          <w:p w14:paraId="148296CF" w14:textId="77777777" w:rsidR="00F06766" w:rsidRPr="00024151" w:rsidRDefault="00F06766" w:rsidP="00F06766">
            <w:pPr>
              <w:rPr>
                <w:sz w:val="20"/>
                <w:szCs w:val="20"/>
                <w:lang w:val="en-US"/>
              </w:rPr>
            </w:pPr>
          </w:p>
          <w:p w14:paraId="70E03B9E" w14:textId="77777777" w:rsidR="00F06766" w:rsidRPr="00F42D10" w:rsidRDefault="00F06766" w:rsidP="00F06766">
            <w:pPr>
              <w:rPr>
                <w:sz w:val="20"/>
                <w:szCs w:val="20"/>
              </w:rPr>
            </w:pPr>
            <w:r w:rsidRPr="00F42D10">
              <w:rPr>
                <w:sz w:val="20"/>
                <w:szCs w:val="20"/>
                <w:u w:val="single"/>
              </w:rPr>
              <w:t>HST (based on TS38.802/913)</w:t>
            </w:r>
            <w:r w:rsidRPr="00F42D10">
              <w:rPr>
                <w:sz w:val="20"/>
                <w:szCs w:val="20"/>
              </w:rPr>
              <w:t xml:space="preserve">: </w:t>
            </w:r>
          </w:p>
          <w:p w14:paraId="655C13FB" w14:textId="77777777" w:rsidR="00F06766" w:rsidRPr="00F42D10" w:rsidRDefault="00F06766" w:rsidP="00F06766">
            <w:pPr>
              <w:rPr>
                <w:sz w:val="20"/>
                <w:szCs w:val="20"/>
              </w:rPr>
            </w:pPr>
            <w:r w:rsidRPr="00F42D10">
              <w:rPr>
                <w:noProof/>
                <w:sz w:val="20"/>
                <w:szCs w:val="20"/>
              </w:rPr>
              <w:object w:dxaOrig="12150" w:dyaOrig="3525" w14:anchorId="327BA4E7">
                <v:shape id="_x0000_i1026" type="#_x0000_t75" style="width:326.85pt;height:94.45pt" o:ole="">
                  <v:imagedata r:id="rId14" o:title=""/>
                </v:shape>
                <o:OLEObject Type="Embed" ProgID="Visio.Drawing.15" ShapeID="_x0000_i1026" DrawAspect="Content" ObjectID="_1658326184" r:id="rId15"/>
              </w:object>
            </w:r>
          </w:p>
          <w:p w14:paraId="1877807E" w14:textId="77777777" w:rsidR="00F06766" w:rsidRPr="00F42D10" w:rsidRDefault="00F06766" w:rsidP="00F06766">
            <w:pPr>
              <w:rPr>
                <w:sz w:val="20"/>
                <w:szCs w:val="20"/>
              </w:rPr>
            </w:pPr>
          </w:p>
          <w:p w14:paraId="3B89225D" w14:textId="77777777" w:rsidR="00F06766" w:rsidRPr="00024151" w:rsidRDefault="00F06766" w:rsidP="00F06766">
            <w:pPr>
              <w:snapToGrid w:val="0"/>
              <w:rPr>
                <w:sz w:val="20"/>
                <w:lang w:val="en-US"/>
              </w:rPr>
            </w:pPr>
            <w:r w:rsidRPr="00024151">
              <w:rPr>
                <w:sz w:val="20"/>
                <w:lang w:val="en-US"/>
              </w:rPr>
              <w:t>The origin (0,0) is assumed to be at RRH2 and between the 2 tracks</w:t>
            </w:r>
          </w:p>
          <w:p w14:paraId="16F8134B" w14:textId="77777777" w:rsidR="00F06766" w:rsidRPr="00F42D10" w:rsidRDefault="00F06766" w:rsidP="00F06766">
            <w:pPr>
              <w:pStyle w:val="ListParagraph"/>
              <w:numPr>
                <w:ilvl w:val="0"/>
                <w:numId w:val="43"/>
              </w:numPr>
              <w:snapToGrid w:val="0"/>
              <w:spacing w:line="240" w:lineRule="auto"/>
              <w:rPr>
                <w:rFonts w:ascii="Times New Roman" w:hAnsi="Times New Roman" w:cs="Times New Roman"/>
                <w:sz w:val="20"/>
              </w:rPr>
            </w:pPr>
            <w:r w:rsidRPr="00F42D10">
              <w:rPr>
                <w:rFonts w:ascii="Times New Roman" w:hAnsi="Times New Roman" w:cs="Times New Roman"/>
                <w:sz w:val="20"/>
              </w:rPr>
              <w:t>Only one UE is simulated (representing one CPE in the train)</w:t>
            </w:r>
          </w:p>
          <w:p w14:paraId="4608DEFD" w14:textId="77777777" w:rsidR="00F06766" w:rsidRPr="00F42D10" w:rsidRDefault="00F06766" w:rsidP="00F06766">
            <w:pPr>
              <w:pStyle w:val="ListParagraph"/>
              <w:numPr>
                <w:ilvl w:val="0"/>
                <w:numId w:val="43"/>
              </w:numPr>
              <w:snapToGrid w:val="0"/>
              <w:spacing w:line="240" w:lineRule="auto"/>
              <w:rPr>
                <w:rFonts w:ascii="Times New Roman" w:hAnsi="Times New Roman" w:cs="Times New Roman"/>
                <w:sz w:val="20"/>
              </w:rPr>
            </w:pPr>
            <w:r w:rsidRPr="00F42D10">
              <w:rPr>
                <w:rFonts w:ascii="Times New Roman" w:hAnsi="Times New Roman" w:cs="Times New Roman"/>
                <w:sz w:val="20"/>
              </w:rPr>
              <w:t>Distance between two adjacent RRHs is d</w:t>
            </w:r>
            <w:r w:rsidRPr="00F42D10">
              <w:rPr>
                <w:rFonts w:ascii="Times New Roman" w:hAnsi="Times New Roman" w:cs="Times New Roman"/>
                <w:sz w:val="20"/>
                <w:vertAlign w:val="subscript"/>
              </w:rPr>
              <w:t>rrh</w:t>
            </w:r>
            <w:r w:rsidRPr="00F42D10">
              <w:rPr>
                <w:rFonts w:ascii="Times New Roman" w:hAnsi="Times New Roman" w:cs="Times New Roman"/>
                <w:sz w:val="20"/>
              </w:rPr>
              <w:t xml:space="preserve"> = 200 m</w:t>
            </w:r>
          </w:p>
          <w:p w14:paraId="5D5F7955" w14:textId="77777777" w:rsidR="00F06766" w:rsidRPr="00F42D10" w:rsidRDefault="00F06766" w:rsidP="00F06766">
            <w:pPr>
              <w:pStyle w:val="ListParagraph"/>
              <w:numPr>
                <w:ilvl w:val="0"/>
                <w:numId w:val="43"/>
              </w:numPr>
              <w:snapToGrid w:val="0"/>
              <w:spacing w:line="240" w:lineRule="auto"/>
              <w:rPr>
                <w:rFonts w:ascii="Times New Roman" w:hAnsi="Times New Roman" w:cs="Times New Roman"/>
                <w:sz w:val="20"/>
              </w:rPr>
            </w:pPr>
            <w:r w:rsidRPr="00F42D10">
              <w:rPr>
                <w:rFonts w:ascii="Times New Roman" w:hAnsi="Times New Roman" w:cs="Times New Roman"/>
                <w:sz w:val="20"/>
              </w:rPr>
              <w:t>Distance between the tracks is d</w:t>
            </w:r>
            <w:r w:rsidRPr="00F42D10">
              <w:rPr>
                <w:rFonts w:ascii="Times New Roman" w:hAnsi="Times New Roman" w:cs="Times New Roman"/>
                <w:sz w:val="20"/>
                <w:vertAlign w:val="subscript"/>
              </w:rPr>
              <w:t>track</w:t>
            </w:r>
            <w:r w:rsidRPr="00F42D10">
              <w:rPr>
                <w:rFonts w:ascii="Times New Roman" w:hAnsi="Times New Roman" w:cs="Times New Roman"/>
                <w:sz w:val="20"/>
              </w:rPr>
              <w:t xml:space="preserve"> = 6 m</w:t>
            </w:r>
          </w:p>
          <w:p w14:paraId="32BEA186" w14:textId="77777777" w:rsidR="00F06766" w:rsidRPr="00F42D10" w:rsidRDefault="00F06766" w:rsidP="00F06766">
            <w:pPr>
              <w:pStyle w:val="ListParagraph"/>
              <w:numPr>
                <w:ilvl w:val="0"/>
                <w:numId w:val="43"/>
              </w:numPr>
              <w:snapToGrid w:val="0"/>
              <w:spacing w:line="240" w:lineRule="auto"/>
              <w:rPr>
                <w:rFonts w:ascii="Times New Roman" w:hAnsi="Times New Roman" w:cs="Times New Roman"/>
                <w:sz w:val="20"/>
              </w:rPr>
            </w:pPr>
            <w:r w:rsidRPr="00F42D10">
              <w:rPr>
                <w:rFonts w:ascii="Times New Roman" w:hAnsi="Times New Roman" w:cs="Times New Roman"/>
                <w:sz w:val="20"/>
              </w:rPr>
              <w:t>Distance between RRH and nearest track is d</w:t>
            </w:r>
            <w:r w:rsidRPr="00F42D10">
              <w:rPr>
                <w:rFonts w:ascii="Times New Roman" w:hAnsi="Times New Roman" w:cs="Times New Roman"/>
                <w:sz w:val="20"/>
                <w:vertAlign w:val="subscript"/>
              </w:rPr>
              <w:t>rrh_track</w:t>
            </w:r>
            <w:r w:rsidRPr="00F42D10">
              <w:rPr>
                <w:rFonts w:ascii="Times New Roman" w:hAnsi="Times New Roman" w:cs="Times New Roman"/>
                <w:sz w:val="20"/>
              </w:rPr>
              <w:t xml:space="preserve"> = 5 m</w:t>
            </w:r>
          </w:p>
          <w:p w14:paraId="56475DE1" w14:textId="77777777" w:rsidR="00F06766" w:rsidRPr="00F42D10" w:rsidRDefault="00F06766" w:rsidP="00F06766">
            <w:pPr>
              <w:pStyle w:val="ListParagraph"/>
              <w:numPr>
                <w:ilvl w:val="0"/>
                <w:numId w:val="43"/>
              </w:numPr>
              <w:snapToGrid w:val="0"/>
              <w:spacing w:line="240" w:lineRule="auto"/>
              <w:rPr>
                <w:rFonts w:ascii="Times New Roman" w:hAnsi="Times New Roman" w:cs="Times New Roman"/>
                <w:sz w:val="20"/>
              </w:rPr>
            </w:pPr>
            <w:r w:rsidRPr="00F42D10">
              <w:rPr>
                <w:rFonts w:ascii="Times New Roman" w:hAnsi="Times New Roman" w:cs="Times New Roman"/>
                <w:sz w:val="20"/>
              </w:rPr>
              <w:t xml:space="preserve">RRH has a bearing angle </w:t>
            </w:r>
            <m:oMath>
              <m:r>
                <w:rPr>
                  <w:rFonts w:ascii="Cambria Math" w:hAnsi="Cambria Math" w:cs="Times New Roman"/>
                  <w:sz w:val="20"/>
                </w:rPr>
                <m:t>φ</m:t>
              </m:r>
            </m:oMath>
            <w:r w:rsidRPr="00F42D10">
              <w:rPr>
                <w:rFonts w:ascii="Times New Roman" w:hAnsi="Times New Roman" w:cs="Times New Roman"/>
                <w:sz w:val="20"/>
              </w:rPr>
              <w:t xml:space="preserve"> or </w:t>
            </w:r>
            <m:oMath>
              <m:r>
                <w:rPr>
                  <w:rFonts w:ascii="Cambria Math" w:hAnsi="Cambria Math" w:cs="Times New Roman"/>
                  <w:sz w:val="20"/>
                </w:rPr>
                <m:t>–φ</m:t>
              </m:r>
            </m:oMath>
            <w:r w:rsidRPr="00F42D10">
              <w:rPr>
                <w:rFonts w:ascii="Times New Roman" w:hAnsi="Times New Roman" w:cs="Times New Roman"/>
                <w:sz w:val="20"/>
              </w:rPr>
              <w:t xml:space="preserve"> where </w:t>
            </w:r>
            <m:oMath>
              <m:r>
                <w:rPr>
                  <w:rFonts w:ascii="Cambria Math" w:hAnsi="Cambria Math" w:cs="Times New Roman"/>
                  <w:sz w:val="20"/>
                </w:rPr>
                <m:t>φ</m:t>
              </m:r>
            </m:oMath>
            <w:r w:rsidRPr="00F42D10">
              <w:rPr>
                <w:rFonts w:ascii="Times New Roman" w:hAnsi="Times New Roman" w:cs="Times New Roman"/>
                <w:sz w:val="20"/>
              </w:rPr>
              <w:t>=20 degrees</w:t>
            </w:r>
          </w:p>
          <w:p w14:paraId="0AE97687" w14:textId="77777777" w:rsidR="00F06766" w:rsidRPr="00F42D10" w:rsidRDefault="00F06766" w:rsidP="00F06766">
            <w:pPr>
              <w:pStyle w:val="ListParagraph"/>
              <w:numPr>
                <w:ilvl w:val="0"/>
                <w:numId w:val="43"/>
              </w:numPr>
              <w:snapToGrid w:val="0"/>
              <w:spacing w:line="240" w:lineRule="auto"/>
              <w:rPr>
                <w:rFonts w:ascii="Times New Roman" w:hAnsi="Times New Roman" w:cs="Times New Roman"/>
                <w:sz w:val="20"/>
              </w:rPr>
            </w:pPr>
            <w:r w:rsidRPr="00F42D10">
              <w:rPr>
                <w:rFonts w:ascii="Times New Roman" w:hAnsi="Times New Roman" w:cs="Times New Roman"/>
                <w:sz w:val="20"/>
              </w:rPr>
              <w:t>The UE starts near RRH2 and moves towards RRH5, or starts near RRH5 and moves towards RRH2</w:t>
            </w:r>
          </w:p>
          <w:p w14:paraId="3974E133" w14:textId="77777777" w:rsidR="00F06766" w:rsidRPr="00F42D10" w:rsidRDefault="00F06766" w:rsidP="00F06766">
            <w:pPr>
              <w:pStyle w:val="ListParagraph"/>
              <w:numPr>
                <w:ilvl w:val="0"/>
                <w:numId w:val="43"/>
              </w:numPr>
              <w:snapToGrid w:val="0"/>
              <w:spacing w:line="240" w:lineRule="auto"/>
              <w:rPr>
                <w:rFonts w:ascii="Times New Roman" w:hAnsi="Times New Roman" w:cs="Times New Roman"/>
                <w:sz w:val="20"/>
              </w:rPr>
            </w:pPr>
            <w:r w:rsidRPr="00F42D10">
              <w:rPr>
                <w:rFonts w:ascii="Times New Roman" w:hAnsi="Times New Roman" w:cs="Times New Roman"/>
                <w:sz w:val="20"/>
              </w:rPr>
              <w:t xml:space="preserve">Possible starting points are near </w:t>
            </w:r>
            <m:oMath>
              <m:r>
                <w:rPr>
                  <w:rFonts w:ascii="Cambria Math" w:hAnsi="Cambria Math" w:cs="Times New Roman"/>
                  <w:sz w:val="20"/>
                </w:rPr>
                <m:t xml:space="preserve">P= </m:t>
              </m:r>
              <m:d>
                <m:dPr>
                  <m:ctrlPr>
                    <w:rPr>
                      <w:rFonts w:ascii="Cambria Math" w:eastAsiaTheme="minorHAnsi" w:hAnsi="Cambria Math" w:cs="Times New Roman"/>
                      <w:i/>
                      <w:iCs/>
                      <w:sz w:val="20"/>
                    </w:rPr>
                  </m:ctrlPr>
                </m:dPr>
                <m:e>
                  <m:r>
                    <w:rPr>
                      <w:rFonts w:ascii="Cambria Math" w:hAnsi="Cambria Math" w:cs="Times New Roman"/>
                      <w:sz w:val="20"/>
                    </w:rPr>
                    <m:t>0,</m:t>
                  </m:r>
                  <m:f>
                    <m:fPr>
                      <m:ctrlPr>
                        <w:rPr>
                          <w:rFonts w:ascii="Cambria Math" w:eastAsiaTheme="minorHAnsi" w:hAnsi="Cambria Math" w:cs="Times New Roman"/>
                          <w:i/>
                          <w:iCs/>
                          <w:sz w:val="20"/>
                        </w:rPr>
                      </m:ctrlPr>
                    </m:fPr>
                    <m:num>
                      <m:sSub>
                        <m:sSubPr>
                          <m:ctrlPr>
                            <w:rPr>
                              <w:rFonts w:ascii="Cambria Math" w:eastAsiaTheme="minorHAnsi" w:hAnsi="Cambria Math" w:cs="Times New Roman"/>
                              <w:i/>
                              <w:iCs/>
                              <w:sz w:val="20"/>
                            </w:rPr>
                          </m:ctrlPr>
                        </m:sSubPr>
                        <m:e>
                          <m:r>
                            <w:rPr>
                              <w:rFonts w:ascii="Cambria Math" w:hAnsi="Cambria Math" w:cs="Times New Roman"/>
                              <w:sz w:val="20"/>
                            </w:rPr>
                            <m:t>d</m:t>
                          </m:r>
                        </m:e>
                        <m:sub>
                          <m:r>
                            <m:rPr>
                              <m:sty m:val="p"/>
                            </m:rPr>
                            <w:rPr>
                              <w:rFonts w:ascii="Cambria Math" w:hAnsi="Cambria Math" w:cs="Times New Roman"/>
                              <w:sz w:val="20"/>
                            </w:rPr>
                            <m:t>track</m:t>
                          </m:r>
                        </m:sub>
                      </m:sSub>
                    </m:num>
                    <m:den>
                      <m:r>
                        <w:rPr>
                          <w:rFonts w:ascii="Cambria Math" w:hAnsi="Cambria Math" w:cs="Times New Roman"/>
                          <w:sz w:val="20"/>
                        </w:rPr>
                        <m:t>2</m:t>
                      </m:r>
                    </m:den>
                  </m:f>
                </m:e>
              </m:d>
            </m:oMath>
            <w:r w:rsidRPr="00F42D10">
              <w:rPr>
                <w:rFonts w:ascii="Times New Roman" w:hAnsi="Times New Roman" w:cs="Times New Roman"/>
                <w:sz w:val="20"/>
              </w:rPr>
              <w:t xml:space="preserve">, </w:t>
            </w:r>
            <m:oMath>
              <m:r>
                <w:rPr>
                  <w:rFonts w:ascii="Cambria Math" w:hAnsi="Cambria Math" w:cs="Times New Roman"/>
                  <w:sz w:val="20"/>
                </w:rPr>
                <m:t xml:space="preserve">Q= </m:t>
              </m:r>
              <m:d>
                <m:dPr>
                  <m:ctrlPr>
                    <w:rPr>
                      <w:rFonts w:ascii="Cambria Math" w:eastAsiaTheme="minorHAnsi" w:hAnsi="Cambria Math" w:cs="Times New Roman"/>
                      <w:i/>
                      <w:iCs/>
                      <w:sz w:val="20"/>
                    </w:rPr>
                  </m:ctrlPr>
                </m:dPr>
                <m:e>
                  <m:r>
                    <w:rPr>
                      <w:rFonts w:ascii="Cambria Math" w:hAnsi="Cambria Math" w:cs="Times New Roman"/>
                      <w:sz w:val="20"/>
                    </w:rPr>
                    <m:t>3*</m:t>
                  </m:r>
                  <m:sSub>
                    <m:sSubPr>
                      <m:ctrlPr>
                        <w:rPr>
                          <w:rFonts w:ascii="Cambria Math" w:eastAsiaTheme="minorHAnsi" w:hAnsi="Cambria Math" w:cs="Times New Roman"/>
                          <w:i/>
                          <w:iCs/>
                          <w:sz w:val="20"/>
                        </w:rPr>
                      </m:ctrlPr>
                    </m:sSubPr>
                    <m:e>
                      <m:r>
                        <w:rPr>
                          <w:rFonts w:ascii="Cambria Math" w:hAnsi="Cambria Math" w:cs="Times New Roman"/>
                          <w:sz w:val="20"/>
                        </w:rPr>
                        <m:t>d</m:t>
                      </m:r>
                    </m:e>
                    <m:sub>
                      <m:r>
                        <m:rPr>
                          <m:sty m:val="p"/>
                        </m:rPr>
                        <w:rPr>
                          <w:rFonts w:ascii="Cambria Math" w:hAnsi="Cambria Math" w:cs="Times New Roman"/>
                          <w:sz w:val="20"/>
                        </w:rPr>
                        <m:t>rrh</m:t>
                      </m:r>
                    </m:sub>
                  </m:sSub>
                  <m:r>
                    <w:rPr>
                      <w:rFonts w:ascii="Cambria Math" w:hAnsi="Cambria Math" w:cs="Times New Roman"/>
                      <w:sz w:val="20"/>
                    </w:rPr>
                    <m:t>,</m:t>
                  </m:r>
                  <m:f>
                    <m:fPr>
                      <m:ctrlPr>
                        <w:rPr>
                          <w:rFonts w:ascii="Cambria Math" w:eastAsiaTheme="minorHAnsi" w:hAnsi="Cambria Math" w:cs="Times New Roman"/>
                          <w:i/>
                          <w:iCs/>
                          <w:sz w:val="20"/>
                        </w:rPr>
                      </m:ctrlPr>
                    </m:fPr>
                    <m:num>
                      <m:sSub>
                        <m:sSubPr>
                          <m:ctrlPr>
                            <w:rPr>
                              <w:rFonts w:ascii="Cambria Math" w:eastAsiaTheme="minorHAnsi" w:hAnsi="Cambria Math" w:cs="Times New Roman"/>
                              <w:i/>
                              <w:iCs/>
                              <w:sz w:val="20"/>
                            </w:rPr>
                          </m:ctrlPr>
                        </m:sSubPr>
                        <m:e>
                          <m:r>
                            <w:rPr>
                              <w:rFonts w:ascii="Cambria Math" w:hAnsi="Cambria Math" w:cs="Times New Roman"/>
                              <w:sz w:val="20"/>
                            </w:rPr>
                            <m:t>d</m:t>
                          </m:r>
                        </m:e>
                        <m:sub>
                          <m:r>
                            <w:rPr>
                              <w:rFonts w:ascii="Cambria Math" w:hAnsi="Cambria Math" w:cs="Times New Roman"/>
                              <w:sz w:val="20"/>
                            </w:rPr>
                            <m:t>track</m:t>
                          </m:r>
                        </m:sub>
                      </m:sSub>
                    </m:num>
                    <m:den>
                      <m:r>
                        <w:rPr>
                          <w:rFonts w:ascii="Cambria Math" w:hAnsi="Cambria Math" w:cs="Times New Roman"/>
                          <w:sz w:val="20"/>
                        </w:rPr>
                        <m:t>2</m:t>
                      </m:r>
                    </m:den>
                  </m:f>
                </m:e>
              </m:d>
            </m:oMath>
            <w:r w:rsidRPr="00F42D10">
              <w:rPr>
                <w:rFonts w:ascii="Times New Roman" w:hAnsi="Times New Roman" w:cs="Times New Roman"/>
                <w:sz w:val="20"/>
              </w:rPr>
              <w:t xml:space="preserve">, </w:t>
            </w:r>
            <m:oMath>
              <m:r>
                <w:rPr>
                  <w:rFonts w:ascii="Cambria Math" w:hAnsi="Cambria Math" w:cs="Times New Roman"/>
                  <w:sz w:val="20"/>
                </w:rPr>
                <m:t xml:space="preserve">R= </m:t>
              </m:r>
              <m:d>
                <m:dPr>
                  <m:ctrlPr>
                    <w:rPr>
                      <w:rFonts w:ascii="Cambria Math" w:eastAsiaTheme="minorHAnsi" w:hAnsi="Cambria Math" w:cs="Times New Roman"/>
                      <w:i/>
                      <w:iCs/>
                      <w:sz w:val="20"/>
                    </w:rPr>
                  </m:ctrlPr>
                </m:dPr>
                <m:e>
                  <m:r>
                    <w:rPr>
                      <w:rFonts w:ascii="Cambria Math" w:hAnsi="Cambria Math" w:cs="Times New Roman"/>
                      <w:sz w:val="20"/>
                    </w:rPr>
                    <m:t>3*</m:t>
                  </m:r>
                  <m:sSub>
                    <m:sSubPr>
                      <m:ctrlPr>
                        <w:rPr>
                          <w:rFonts w:ascii="Cambria Math" w:eastAsiaTheme="minorHAnsi" w:hAnsi="Cambria Math" w:cs="Times New Roman"/>
                          <w:i/>
                          <w:iCs/>
                          <w:sz w:val="20"/>
                        </w:rPr>
                      </m:ctrlPr>
                    </m:sSubPr>
                    <m:e>
                      <m:r>
                        <w:rPr>
                          <w:rFonts w:ascii="Cambria Math" w:hAnsi="Cambria Math" w:cs="Times New Roman"/>
                          <w:sz w:val="20"/>
                        </w:rPr>
                        <m:t>d</m:t>
                      </m:r>
                    </m:e>
                    <m:sub>
                      <m:r>
                        <m:rPr>
                          <m:sty m:val="p"/>
                        </m:rPr>
                        <w:rPr>
                          <w:rFonts w:ascii="Cambria Math" w:hAnsi="Cambria Math" w:cs="Times New Roman"/>
                          <w:sz w:val="20"/>
                        </w:rPr>
                        <m:t>rrh</m:t>
                      </m:r>
                    </m:sub>
                  </m:sSub>
                  <m:r>
                    <w:rPr>
                      <w:rFonts w:ascii="Cambria Math" w:hAnsi="Cambria Math" w:cs="Times New Roman"/>
                      <w:sz w:val="20"/>
                    </w:rPr>
                    <m:t>,-</m:t>
                  </m:r>
                  <m:f>
                    <m:fPr>
                      <m:ctrlPr>
                        <w:rPr>
                          <w:rFonts w:ascii="Cambria Math" w:eastAsiaTheme="minorHAnsi" w:hAnsi="Cambria Math" w:cs="Times New Roman"/>
                          <w:i/>
                          <w:iCs/>
                          <w:sz w:val="20"/>
                        </w:rPr>
                      </m:ctrlPr>
                    </m:fPr>
                    <m:num>
                      <m:sSub>
                        <m:sSubPr>
                          <m:ctrlPr>
                            <w:rPr>
                              <w:rFonts w:ascii="Cambria Math" w:eastAsiaTheme="minorHAnsi" w:hAnsi="Cambria Math" w:cs="Times New Roman"/>
                              <w:i/>
                              <w:iCs/>
                              <w:sz w:val="20"/>
                            </w:rPr>
                          </m:ctrlPr>
                        </m:sSubPr>
                        <m:e>
                          <m:r>
                            <w:rPr>
                              <w:rFonts w:ascii="Cambria Math" w:hAnsi="Cambria Math" w:cs="Times New Roman"/>
                              <w:sz w:val="20"/>
                            </w:rPr>
                            <m:t>d</m:t>
                          </m:r>
                        </m:e>
                        <m:sub>
                          <m:r>
                            <w:rPr>
                              <w:rFonts w:ascii="Cambria Math" w:hAnsi="Cambria Math" w:cs="Times New Roman"/>
                              <w:sz w:val="20"/>
                            </w:rPr>
                            <m:t>track</m:t>
                          </m:r>
                        </m:sub>
                      </m:sSub>
                    </m:num>
                    <m:den>
                      <m:r>
                        <w:rPr>
                          <w:rFonts w:ascii="Cambria Math" w:hAnsi="Cambria Math" w:cs="Times New Roman"/>
                          <w:sz w:val="20"/>
                        </w:rPr>
                        <m:t>2</m:t>
                      </m:r>
                    </m:den>
                  </m:f>
                </m:e>
              </m:d>
            </m:oMath>
            <w:r w:rsidRPr="00F42D10">
              <w:rPr>
                <w:rFonts w:ascii="Times New Roman" w:hAnsi="Times New Roman" w:cs="Times New Roman"/>
                <w:sz w:val="20"/>
              </w:rPr>
              <w:t>,  </w:t>
            </w:r>
            <m:oMath>
              <m:r>
                <w:rPr>
                  <w:rFonts w:ascii="Cambria Math" w:hAnsi="Cambria Math" w:cs="Times New Roman"/>
                  <w:sz w:val="20"/>
                </w:rPr>
                <m:t xml:space="preserve">S= </m:t>
              </m:r>
              <m:d>
                <m:dPr>
                  <m:ctrlPr>
                    <w:rPr>
                      <w:rFonts w:ascii="Cambria Math" w:eastAsiaTheme="minorHAnsi" w:hAnsi="Cambria Math" w:cs="Times New Roman"/>
                      <w:i/>
                      <w:iCs/>
                      <w:sz w:val="20"/>
                    </w:rPr>
                  </m:ctrlPr>
                </m:dPr>
                <m:e>
                  <m:r>
                    <w:rPr>
                      <w:rFonts w:ascii="Cambria Math" w:hAnsi="Cambria Math" w:cs="Times New Roman"/>
                      <w:sz w:val="20"/>
                    </w:rPr>
                    <m:t>0,-</m:t>
                  </m:r>
                  <m:f>
                    <m:fPr>
                      <m:ctrlPr>
                        <w:rPr>
                          <w:rFonts w:ascii="Cambria Math" w:eastAsiaTheme="minorHAnsi" w:hAnsi="Cambria Math" w:cs="Times New Roman"/>
                          <w:i/>
                          <w:iCs/>
                          <w:sz w:val="20"/>
                        </w:rPr>
                      </m:ctrlPr>
                    </m:fPr>
                    <m:num>
                      <m:sSub>
                        <m:sSubPr>
                          <m:ctrlPr>
                            <w:rPr>
                              <w:rFonts w:ascii="Cambria Math" w:eastAsiaTheme="minorHAnsi" w:hAnsi="Cambria Math" w:cs="Times New Roman"/>
                              <w:i/>
                              <w:iCs/>
                              <w:sz w:val="20"/>
                            </w:rPr>
                          </m:ctrlPr>
                        </m:sSubPr>
                        <m:e>
                          <m:r>
                            <w:rPr>
                              <w:rFonts w:ascii="Cambria Math" w:hAnsi="Cambria Math" w:cs="Times New Roman"/>
                              <w:sz w:val="20"/>
                            </w:rPr>
                            <m:t>d</m:t>
                          </m:r>
                        </m:e>
                        <m:sub>
                          <m:r>
                            <m:rPr>
                              <m:sty m:val="p"/>
                            </m:rPr>
                            <w:rPr>
                              <w:rFonts w:ascii="Cambria Math" w:hAnsi="Cambria Math" w:cs="Times New Roman"/>
                              <w:sz w:val="20"/>
                            </w:rPr>
                            <m:t>track</m:t>
                          </m:r>
                        </m:sub>
                      </m:sSub>
                    </m:num>
                    <m:den>
                      <m:r>
                        <w:rPr>
                          <w:rFonts w:ascii="Cambria Math" w:hAnsi="Cambria Math" w:cs="Times New Roman"/>
                          <w:sz w:val="20"/>
                        </w:rPr>
                        <m:t>2</m:t>
                      </m:r>
                    </m:den>
                  </m:f>
                </m:e>
              </m:d>
            </m:oMath>
          </w:p>
          <w:p w14:paraId="53F0384B" w14:textId="77777777" w:rsidR="00F06766" w:rsidRPr="00F42D10" w:rsidRDefault="00F06766" w:rsidP="00F06766">
            <w:pPr>
              <w:pStyle w:val="ListParagraph"/>
              <w:numPr>
                <w:ilvl w:val="0"/>
                <w:numId w:val="43"/>
              </w:numPr>
              <w:snapToGrid w:val="0"/>
              <w:spacing w:line="240" w:lineRule="auto"/>
              <w:rPr>
                <w:rFonts w:ascii="Times New Roman" w:hAnsi="Times New Roman" w:cs="Times New Roman"/>
                <w:sz w:val="20"/>
              </w:rPr>
            </w:pPr>
            <w:r w:rsidRPr="00F42D10">
              <w:rPr>
                <w:rFonts w:ascii="Times New Roman" w:hAnsi="Times New Roman" w:cs="Times New Roman"/>
                <w:sz w:val="20"/>
              </w:rPr>
              <w:t>There are two possible randomly selected travel directions for the UE, each with two possible starting locations (a total of four trajectories):</w:t>
            </w:r>
          </w:p>
          <w:p w14:paraId="41AC7C1F" w14:textId="77777777" w:rsidR="00F06766" w:rsidRPr="00F42D10" w:rsidRDefault="00F06766" w:rsidP="00F06766">
            <w:pPr>
              <w:pStyle w:val="ListParagraph"/>
              <w:numPr>
                <w:ilvl w:val="1"/>
                <w:numId w:val="42"/>
              </w:numPr>
              <w:snapToGrid w:val="0"/>
              <w:spacing w:line="240" w:lineRule="auto"/>
              <w:rPr>
                <w:rFonts w:ascii="Times New Roman" w:hAnsi="Times New Roman" w:cs="Times New Roman"/>
                <w:sz w:val="20"/>
              </w:rPr>
            </w:pPr>
            <w:r w:rsidRPr="00F42D10">
              <w:rPr>
                <w:rFonts w:ascii="Times New Roman" w:hAnsi="Times New Roman" w:cs="Times New Roman"/>
                <w:sz w:val="20"/>
              </w:rPr>
              <w:t>Direction 1: The UE starts near RRH2 (at either P or S) and moves on a horizontal line to the right</w:t>
            </w:r>
          </w:p>
          <w:p w14:paraId="11229A2A" w14:textId="77777777" w:rsidR="00F06766" w:rsidRPr="00F42D10" w:rsidRDefault="00F06766" w:rsidP="00F06766">
            <w:pPr>
              <w:pStyle w:val="ListParagraph"/>
              <w:numPr>
                <w:ilvl w:val="1"/>
                <w:numId w:val="42"/>
              </w:numPr>
              <w:snapToGrid w:val="0"/>
              <w:spacing w:line="240" w:lineRule="auto"/>
              <w:rPr>
                <w:rFonts w:ascii="Times New Roman" w:hAnsi="Times New Roman" w:cs="Times New Roman"/>
                <w:sz w:val="20"/>
              </w:rPr>
            </w:pPr>
            <w:r w:rsidRPr="00F42D10">
              <w:rPr>
                <w:rFonts w:ascii="Times New Roman" w:hAnsi="Times New Roman" w:cs="Times New Roman"/>
                <w:sz w:val="20"/>
              </w:rPr>
              <w:t>Direction 2: The UE starts near RRH5 (at either R or Q) and moves on a horizontal line to the left</w:t>
            </w:r>
          </w:p>
          <w:p w14:paraId="7780FC1F" w14:textId="77777777" w:rsidR="00F06766" w:rsidRPr="00024151" w:rsidRDefault="00F06766" w:rsidP="00F06766">
            <w:pPr>
              <w:rPr>
                <w:sz w:val="20"/>
                <w:szCs w:val="20"/>
                <w:lang w:val="en-US"/>
              </w:rPr>
            </w:pPr>
          </w:p>
        </w:tc>
      </w:tr>
      <w:tr w:rsidR="00F06766" w:rsidRPr="00F42D10" w14:paraId="0DE922F5" w14:textId="77777777" w:rsidTr="00F06766">
        <w:trPr>
          <w:trHeight w:val="377"/>
        </w:trPr>
        <w:tc>
          <w:tcPr>
            <w:tcW w:w="2245" w:type="dxa"/>
          </w:tcPr>
          <w:p w14:paraId="1DDF3C04" w14:textId="77777777" w:rsidR="00F06766" w:rsidRPr="00F42D10" w:rsidRDefault="00F06766" w:rsidP="00F06766">
            <w:pPr>
              <w:rPr>
                <w:sz w:val="20"/>
                <w:szCs w:val="20"/>
              </w:rPr>
            </w:pPr>
            <w:r w:rsidRPr="00F42D10">
              <w:rPr>
                <w:sz w:val="20"/>
                <w:szCs w:val="20"/>
              </w:rPr>
              <w:lastRenderedPageBreak/>
              <w:t>Performance metrics</w:t>
            </w:r>
          </w:p>
        </w:tc>
        <w:tc>
          <w:tcPr>
            <w:tcW w:w="7110" w:type="dxa"/>
          </w:tcPr>
          <w:p w14:paraId="180E2DD6" w14:textId="77777777" w:rsidR="00F06766" w:rsidRPr="00F42D10" w:rsidRDefault="00F06766" w:rsidP="00F06766">
            <w:pPr>
              <w:pStyle w:val="ListParagraph"/>
              <w:numPr>
                <w:ilvl w:val="0"/>
                <w:numId w:val="37"/>
              </w:numPr>
              <w:spacing w:after="160"/>
              <w:contextualSpacing/>
              <w:rPr>
                <w:rFonts w:ascii="Times New Roman" w:hAnsi="Times New Roman" w:cs="Times New Roman"/>
                <w:b/>
                <w:sz w:val="20"/>
                <w:szCs w:val="20"/>
              </w:rPr>
            </w:pPr>
            <w:r w:rsidRPr="00F42D10">
              <w:rPr>
                <w:rFonts w:ascii="Times New Roman" w:hAnsi="Times New Roman" w:cs="Times New Roman"/>
                <w:sz w:val="20"/>
                <w:szCs w:val="20"/>
              </w:rPr>
              <w:t xml:space="preserve">CDF of </w:t>
            </w:r>
            <w:r>
              <w:rPr>
                <w:rFonts w:ascii="Times New Roman" w:hAnsi="Times New Roman" w:cs="Times New Roman"/>
                <w:sz w:val="20"/>
                <w:szCs w:val="20"/>
              </w:rPr>
              <w:t>UE throughput</w:t>
            </w:r>
            <w:r w:rsidRPr="00F42D10">
              <w:rPr>
                <w:rFonts w:ascii="Times New Roman" w:hAnsi="Times New Roman" w:cs="Times New Roman"/>
                <w:sz w:val="20"/>
                <w:szCs w:val="20"/>
              </w:rPr>
              <w:t xml:space="preserve">, avg. and 5% </w:t>
            </w:r>
            <w:r>
              <w:rPr>
                <w:rFonts w:ascii="Times New Roman" w:hAnsi="Times New Roman" w:cs="Times New Roman"/>
                <w:sz w:val="20"/>
                <w:szCs w:val="20"/>
              </w:rPr>
              <w:t>UE throughput, cf. Appendix</w:t>
            </w:r>
          </w:p>
          <w:p w14:paraId="7301300C" w14:textId="77777777" w:rsidR="00F06766" w:rsidRPr="00F42D10" w:rsidRDefault="00F06766" w:rsidP="00F06766">
            <w:pPr>
              <w:pStyle w:val="ListParagraph"/>
              <w:numPr>
                <w:ilvl w:val="0"/>
                <w:numId w:val="37"/>
              </w:numPr>
              <w:spacing w:after="160"/>
              <w:contextualSpacing/>
              <w:rPr>
                <w:rFonts w:ascii="Times New Roman" w:hAnsi="Times New Roman" w:cs="Times New Roman"/>
                <w:b/>
                <w:sz w:val="20"/>
                <w:szCs w:val="20"/>
              </w:rPr>
            </w:pPr>
            <w:r w:rsidRPr="00F42D10">
              <w:rPr>
                <w:rFonts w:ascii="Times New Roman" w:hAnsi="Times New Roman" w:cs="Times New Roman"/>
                <w:sz w:val="20"/>
                <w:szCs w:val="20"/>
              </w:rPr>
              <w:t>TCI state update (beam indication) signaling overhead (separate analysis from SLS)</w:t>
            </w:r>
          </w:p>
          <w:p w14:paraId="0F9D3D3D" w14:textId="77777777" w:rsidR="00F06766" w:rsidRPr="00F42D10" w:rsidRDefault="00F06766" w:rsidP="00F06766">
            <w:pPr>
              <w:pStyle w:val="ListParagraph"/>
              <w:numPr>
                <w:ilvl w:val="0"/>
                <w:numId w:val="37"/>
              </w:numPr>
              <w:spacing w:after="160"/>
              <w:contextualSpacing/>
              <w:rPr>
                <w:rFonts w:ascii="Times New Roman" w:hAnsi="Times New Roman" w:cs="Times New Roman"/>
                <w:b/>
                <w:sz w:val="20"/>
                <w:szCs w:val="20"/>
              </w:rPr>
            </w:pPr>
            <w:r w:rsidRPr="00F42D10">
              <w:rPr>
                <w:rFonts w:ascii="Times New Roman" w:hAnsi="Times New Roman" w:cs="Times New Roman"/>
                <w:sz w:val="20"/>
                <w:szCs w:val="20"/>
              </w:rPr>
              <w:t>Beam switching latency</w:t>
            </w:r>
          </w:p>
          <w:p w14:paraId="1E4310D3" w14:textId="77777777" w:rsidR="00F06766" w:rsidRPr="00F42D10" w:rsidRDefault="00F06766" w:rsidP="00F06766">
            <w:pPr>
              <w:pStyle w:val="ListParagraph"/>
              <w:numPr>
                <w:ilvl w:val="0"/>
                <w:numId w:val="37"/>
              </w:numPr>
              <w:spacing w:after="160"/>
              <w:contextualSpacing/>
              <w:rPr>
                <w:rFonts w:ascii="Times New Roman" w:hAnsi="Times New Roman" w:cs="Times New Roman"/>
                <w:b/>
                <w:sz w:val="20"/>
                <w:szCs w:val="20"/>
              </w:rPr>
            </w:pPr>
            <w:r w:rsidRPr="00F42D10">
              <w:rPr>
                <w:rFonts w:ascii="Times New Roman" w:hAnsi="Times New Roman" w:cs="Times New Roman"/>
                <w:sz w:val="20"/>
                <w:szCs w:val="20"/>
              </w:rPr>
              <w:t xml:space="preserve">RSRP distribution </w:t>
            </w:r>
          </w:p>
        </w:tc>
      </w:tr>
    </w:tbl>
    <w:p w14:paraId="43EEBC3D" w14:textId="77777777" w:rsidR="00F06766" w:rsidRPr="00F42D10" w:rsidRDefault="00F06766" w:rsidP="00F06766">
      <w:pPr>
        <w:snapToGrid w:val="0"/>
        <w:spacing w:after="120" w:line="288" w:lineRule="auto"/>
        <w:jc w:val="both"/>
        <w:rPr>
          <w:b/>
          <w:color w:val="3333FF"/>
          <w:sz w:val="20"/>
          <w:szCs w:val="20"/>
        </w:rPr>
      </w:pPr>
    </w:p>
    <w:p w14:paraId="38B84295" w14:textId="77777777" w:rsidR="00F06766" w:rsidRPr="00024151" w:rsidRDefault="00F06766" w:rsidP="00F06766">
      <w:pPr>
        <w:pStyle w:val="Caption"/>
        <w:jc w:val="center"/>
        <w:rPr>
          <w:rFonts w:ascii="Times New Roman" w:hAnsi="Times New Roman" w:cs="Times New Roman"/>
          <w:lang w:val="en-US"/>
        </w:rPr>
      </w:pPr>
      <w:r w:rsidRPr="00024151">
        <w:rPr>
          <w:rFonts w:ascii="Times New Roman" w:hAnsi="Times New Roman" w:cs="Times New Roman"/>
          <w:lang w:val="en-US"/>
        </w:rPr>
        <w:t xml:space="preserve">Table </w:t>
      </w:r>
      <w:r w:rsidRPr="00F42D10">
        <w:rPr>
          <w:rFonts w:ascii="Times New Roman" w:hAnsi="Times New Roman" w:cs="Times New Roman"/>
        </w:rPr>
        <w:fldChar w:fldCharType="begin"/>
      </w:r>
      <w:r w:rsidRPr="00024151">
        <w:rPr>
          <w:rFonts w:ascii="Times New Roman" w:hAnsi="Times New Roman" w:cs="Times New Roman"/>
          <w:lang w:val="en-US"/>
        </w:rPr>
        <w:instrText xml:space="preserve"> SEQ Table \* ARABIC </w:instrText>
      </w:r>
      <w:r w:rsidRPr="00F42D10">
        <w:rPr>
          <w:rFonts w:ascii="Times New Roman" w:hAnsi="Times New Roman" w:cs="Times New Roman"/>
        </w:rPr>
        <w:fldChar w:fldCharType="separate"/>
      </w:r>
      <w:r w:rsidRPr="00024151">
        <w:rPr>
          <w:rFonts w:ascii="Times New Roman" w:hAnsi="Times New Roman" w:cs="Times New Roman"/>
          <w:lang w:val="en-US"/>
        </w:rPr>
        <w:t>4</w:t>
      </w:r>
      <w:r w:rsidRPr="00F42D10">
        <w:rPr>
          <w:rFonts w:ascii="Times New Roman" w:hAnsi="Times New Roman" w:cs="Times New Roman"/>
        </w:rPr>
        <w:fldChar w:fldCharType="end"/>
      </w:r>
      <w:r w:rsidRPr="00024151">
        <w:rPr>
          <w:rFonts w:ascii="Times New Roman" w:hAnsi="Times New Roman" w:cs="Times New Roman"/>
          <w:lang w:val="en-US"/>
        </w:rPr>
        <w:t xml:space="preserve"> Baseline assumptions for SLS: MPE/Multi-panel UE</w:t>
      </w:r>
    </w:p>
    <w:tbl>
      <w:tblPr>
        <w:tblStyle w:val="TableGrid"/>
        <w:tblW w:w="9355" w:type="dxa"/>
        <w:tblLook w:val="04A0" w:firstRow="1" w:lastRow="0" w:firstColumn="1" w:lastColumn="0" w:noHBand="0" w:noVBand="1"/>
      </w:tblPr>
      <w:tblGrid>
        <w:gridCol w:w="2965"/>
        <w:gridCol w:w="6390"/>
      </w:tblGrid>
      <w:tr w:rsidR="00F06766" w:rsidRPr="00F42D10" w14:paraId="2313A987" w14:textId="77777777" w:rsidTr="00F06766">
        <w:tc>
          <w:tcPr>
            <w:tcW w:w="2965" w:type="dxa"/>
            <w:shd w:val="clear" w:color="auto" w:fill="D5DCE4" w:themeFill="text2" w:themeFillTint="33"/>
          </w:tcPr>
          <w:p w14:paraId="0FDF207A" w14:textId="77777777" w:rsidR="00F06766" w:rsidRPr="00F42D10" w:rsidRDefault="00F06766" w:rsidP="00F06766">
            <w:pPr>
              <w:snapToGrid w:val="0"/>
              <w:rPr>
                <w:b/>
                <w:sz w:val="20"/>
                <w:szCs w:val="20"/>
              </w:rPr>
            </w:pPr>
            <w:r w:rsidRPr="00F42D10">
              <w:rPr>
                <w:b/>
                <w:sz w:val="20"/>
                <w:szCs w:val="20"/>
              </w:rPr>
              <w:t>Parameters</w:t>
            </w:r>
          </w:p>
        </w:tc>
        <w:tc>
          <w:tcPr>
            <w:tcW w:w="6390" w:type="dxa"/>
            <w:shd w:val="clear" w:color="auto" w:fill="D5DCE4" w:themeFill="text2" w:themeFillTint="33"/>
          </w:tcPr>
          <w:p w14:paraId="7DEDB3B2" w14:textId="77777777" w:rsidR="00F06766" w:rsidRPr="00F42D10" w:rsidRDefault="00F06766" w:rsidP="00F06766">
            <w:pPr>
              <w:snapToGrid w:val="0"/>
              <w:rPr>
                <w:b/>
                <w:sz w:val="20"/>
                <w:szCs w:val="20"/>
              </w:rPr>
            </w:pPr>
            <w:r w:rsidRPr="00F42D10">
              <w:rPr>
                <w:b/>
                <w:sz w:val="20"/>
                <w:szCs w:val="20"/>
              </w:rPr>
              <w:t>Values</w:t>
            </w:r>
          </w:p>
        </w:tc>
      </w:tr>
      <w:tr w:rsidR="00F06766" w:rsidRPr="00F42D10" w14:paraId="6D155ECF" w14:textId="77777777" w:rsidTr="00F06766">
        <w:trPr>
          <w:trHeight w:val="125"/>
        </w:trPr>
        <w:tc>
          <w:tcPr>
            <w:tcW w:w="2965" w:type="dxa"/>
          </w:tcPr>
          <w:p w14:paraId="445B6F3E" w14:textId="77777777" w:rsidR="00F06766" w:rsidRPr="00F42D10" w:rsidRDefault="00F06766" w:rsidP="00F06766">
            <w:pPr>
              <w:snapToGrid w:val="0"/>
              <w:rPr>
                <w:sz w:val="20"/>
                <w:szCs w:val="20"/>
              </w:rPr>
            </w:pPr>
            <w:r w:rsidRPr="00F42D10">
              <w:rPr>
                <w:sz w:val="20"/>
                <w:szCs w:val="20"/>
              </w:rPr>
              <w:t>Scenarios</w:t>
            </w:r>
          </w:p>
        </w:tc>
        <w:tc>
          <w:tcPr>
            <w:tcW w:w="6390" w:type="dxa"/>
          </w:tcPr>
          <w:p w14:paraId="02C77724" w14:textId="77777777" w:rsidR="00F06766" w:rsidRPr="00F42D10" w:rsidRDefault="00F06766" w:rsidP="00F06766">
            <w:pPr>
              <w:pStyle w:val="ListParagraph"/>
              <w:numPr>
                <w:ilvl w:val="0"/>
                <w:numId w:val="41"/>
              </w:numPr>
              <w:snapToGrid w:val="0"/>
              <w:spacing w:after="160"/>
              <w:contextualSpacing/>
              <w:rPr>
                <w:rFonts w:ascii="Times New Roman" w:hAnsi="Times New Roman" w:cs="Times New Roman"/>
                <w:sz w:val="20"/>
                <w:szCs w:val="20"/>
              </w:rPr>
            </w:pPr>
            <w:r w:rsidRPr="00F42D10">
              <w:rPr>
                <w:rFonts w:ascii="Times New Roman" w:hAnsi="Times New Roman" w:cs="Times New Roman"/>
                <w:sz w:val="20"/>
                <w:szCs w:val="20"/>
              </w:rPr>
              <w:t>Dense urban (macro-layer only, TR 38.913) @FR2, 200m ISD, 2-tier model with wrap-around (7 sites, 3 sectors</w:t>
            </w:r>
            <w:r>
              <w:rPr>
                <w:rFonts w:ascii="Times New Roman" w:hAnsi="Times New Roman" w:cs="Times New Roman"/>
                <w:sz w:val="20"/>
                <w:szCs w:val="20"/>
              </w:rPr>
              <w:t>/cells</w:t>
            </w:r>
            <w:r w:rsidRPr="00F42D10">
              <w:rPr>
                <w:rFonts w:ascii="Times New Roman" w:hAnsi="Times New Roman" w:cs="Times New Roman"/>
                <w:sz w:val="20"/>
                <w:szCs w:val="20"/>
              </w:rPr>
              <w:t xml:space="preserve"> per cell), 100% outdoor</w:t>
            </w:r>
          </w:p>
          <w:p w14:paraId="39325CD9" w14:textId="77777777" w:rsidR="00F06766" w:rsidRPr="00F42D10" w:rsidRDefault="00F06766" w:rsidP="00F06766">
            <w:pPr>
              <w:pStyle w:val="ListParagraph"/>
              <w:numPr>
                <w:ilvl w:val="1"/>
                <w:numId w:val="41"/>
              </w:numPr>
              <w:snapToGrid w:val="0"/>
              <w:spacing w:after="160"/>
              <w:contextualSpacing/>
              <w:rPr>
                <w:rFonts w:ascii="Times New Roman" w:hAnsi="Times New Roman" w:cs="Times New Roman"/>
                <w:sz w:val="20"/>
                <w:szCs w:val="20"/>
              </w:rPr>
            </w:pPr>
            <w:r w:rsidRPr="00F42D10">
              <w:rPr>
                <w:rFonts w:ascii="Times New Roman" w:hAnsi="Times New Roman" w:cs="Times New Roman"/>
                <w:sz w:val="20"/>
                <w:szCs w:val="20"/>
              </w:rPr>
              <w:t xml:space="preserve">Companies explain the number of dropped UEs </w:t>
            </w:r>
          </w:p>
          <w:p w14:paraId="5C20B039" w14:textId="77777777" w:rsidR="00F06766" w:rsidRPr="00F42D10" w:rsidRDefault="00F06766" w:rsidP="00F06766">
            <w:pPr>
              <w:pStyle w:val="ListParagraph"/>
              <w:numPr>
                <w:ilvl w:val="0"/>
                <w:numId w:val="41"/>
              </w:numPr>
              <w:snapToGrid w:val="0"/>
              <w:spacing w:after="160"/>
              <w:contextualSpacing/>
              <w:rPr>
                <w:rFonts w:ascii="Times New Roman" w:hAnsi="Times New Roman" w:cs="Times New Roman"/>
                <w:sz w:val="20"/>
                <w:szCs w:val="20"/>
              </w:rPr>
            </w:pPr>
            <w:r w:rsidRPr="00F42D10">
              <w:rPr>
                <w:rFonts w:ascii="Times New Roman" w:hAnsi="Times New Roman" w:cs="Times New Roman"/>
                <w:sz w:val="20"/>
                <w:szCs w:val="20"/>
              </w:rPr>
              <w:t>Indoor (TR 38.901/802)</w:t>
            </w:r>
          </w:p>
        </w:tc>
      </w:tr>
      <w:tr w:rsidR="00F06766" w:rsidRPr="00024151" w14:paraId="24E30DFC" w14:textId="77777777" w:rsidTr="00F06766">
        <w:trPr>
          <w:trHeight w:val="55"/>
        </w:trPr>
        <w:tc>
          <w:tcPr>
            <w:tcW w:w="2965" w:type="dxa"/>
          </w:tcPr>
          <w:p w14:paraId="67E31ED0" w14:textId="77777777" w:rsidR="00F06766" w:rsidRPr="00F42D10" w:rsidRDefault="00F06766" w:rsidP="00F06766">
            <w:pPr>
              <w:snapToGrid w:val="0"/>
              <w:rPr>
                <w:sz w:val="20"/>
                <w:szCs w:val="20"/>
              </w:rPr>
            </w:pPr>
            <w:r w:rsidRPr="00F42D10">
              <w:rPr>
                <w:sz w:val="20"/>
                <w:szCs w:val="20"/>
              </w:rPr>
              <w:t>UE speed</w:t>
            </w:r>
          </w:p>
        </w:tc>
        <w:tc>
          <w:tcPr>
            <w:tcW w:w="6390" w:type="dxa"/>
          </w:tcPr>
          <w:p w14:paraId="0F21F5E5" w14:textId="77777777" w:rsidR="00F06766" w:rsidRPr="00024151" w:rsidRDefault="00F06766" w:rsidP="00F06766">
            <w:pPr>
              <w:snapToGrid w:val="0"/>
              <w:rPr>
                <w:sz w:val="20"/>
                <w:szCs w:val="20"/>
                <w:lang w:val="en-US"/>
              </w:rPr>
            </w:pPr>
            <w:r w:rsidRPr="00024151">
              <w:rPr>
                <w:sz w:val="20"/>
                <w:szCs w:val="20"/>
                <w:lang w:val="en-US"/>
              </w:rPr>
              <w:t>3 km/</w:t>
            </w:r>
            <w:proofErr w:type="spellStart"/>
            <w:r w:rsidRPr="00024151">
              <w:rPr>
                <w:sz w:val="20"/>
                <w:szCs w:val="20"/>
                <w:lang w:val="en-US"/>
              </w:rPr>
              <w:t>hr</w:t>
            </w:r>
            <w:proofErr w:type="spellEnd"/>
            <w:r w:rsidRPr="00024151">
              <w:rPr>
                <w:sz w:val="20"/>
                <w:szCs w:val="20"/>
                <w:lang w:val="en-US"/>
              </w:rPr>
              <w:t xml:space="preserve"> for indoor UEs, 30km/</w:t>
            </w:r>
            <w:proofErr w:type="spellStart"/>
            <w:r w:rsidRPr="00024151">
              <w:rPr>
                <w:sz w:val="20"/>
                <w:szCs w:val="20"/>
                <w:lang w:val="en-US"/>
              </w:rPr>
              <w:t>hr</w:t>
            </w:r>
            <w:proofErr w:type="spellEnd"/>
            <w:r w:rsidRPr="00024151">
              <w:rPr>
                <w:sz w:val="20"/>
                <w:szCs w:val="20"/>
                <w:lang w:val="en-US"/>
              </w:rPr>
              <w:t xml:space="preserve"> for outdoor UEs </w:t>
            </w:r>
          </w:p>
        </w:tc>
      </w:tr>
      <w:tr w:rsidR="00F06766" w:rsidRPr="00024151" w14:paraId="339B63E6" w14:textId="77777777" w:rsidTr="00F06766">
        <w:trPr>
          <w:trHeight w:val="55"/>
        </w:trPr>
        <w:tc>
          <w:tcPr>
            <w:tcW w:w="2965" w:type="dxa"/>
          </w:tcPr>
          <w:p w14:paraId="359C5470" w14:textId="77777777" w:rsidR="00F06766" w:rsidRPr="00024151" w:rsidRDefault="00F06766" w:rsidP="00F06766">
            <w:pPr>
              <w:snapToGrid w:val="0"/>
              <w:rPr>
                <w:sz w:val="20"/>
                <w:szCs w:val="20"/>
                <w:lang w:val="en-US"/>
              </w:rPr>
            </w:pPr>
            <w:r w:rsidRPr="00024151">
              <w:rPr>
                <w:sz w:val="20"/>
                <w:szCs w:val="20"/>
                <w:lang w:val="en-US"/>
              </w:rPr>
              <w:t>Panel Blockage Modeling for MPE</w:t>
            </w:r>
          </w:p>
        </w:tc>
        <w:tc>
          <w:tcPr>
            <w:tcW w:w="6390" w:type="dxa"/>
          </w:tcPr>
          <w:p w14:paraId="49602900" w14:textId="77777777" w:rsidR="00F06766" w:rsidRPr="00024151" w:rsidRDefault="00F06766" w:rsidP="00F06766">
            <w:pPr>
              <w:snapToGrid w:val="0"/>
              <w:rPr>
                <w:sz w:val="20"/>
                <w:szCs w:val="20"/>
                <w:lang w:val="en-US"/>
              </w:rPr>
            </w:pPr>
            <w:r w:rsidRPr="00024151">
              <w:rPr>
                <w:sz w:val="20"/>
                <w:szCs w:val="20"/>
                <w:lang w:val="en-US"/>
              </w:rPr>
              <w:t xml:space="preserve">Only one panel is blocked. The blocked panel is randomly selected at each drop  </w:t>
            </w:r>
          </w:p>
          <w:p w14:paraId="0911B673" w14:textId="77777777" w:rsidR="00F06766" w:rsidRPr="00F42D10" w:rsidRDefault="00F06766" w:rsidP="00F06766">
            <w:pPr>
              <w:pStyle w:val="ListParagraph"/>
              <w:numPr>
                <w:ilvl w:val="0"/>
                <w:numId w:val="38"/>
              </w:numPr>
              <w:snapToGrid w:val="0"/>
              <w:spacing w:line="240" w:lineRule="auto"/>
              <w:contextualSpacing/>
              <w:rPr>
                <w:rFonts w:ascii="Times New Roman" w:hAnsi="Times New Roman" w:cs="Times New Roman"/>
                <w:sz w:val="20"/>
                <w:szCs w:val="20"/>
              </w:rPr>
            </w:pPr>
            <w:r w:rsidRPr="00F42D10">
              <w:rPr>
                <w:rFonts w:ascii="Times New Roman" w:hAnsi="Times New Roman" w:cs="Times New Roman"/>
                <w:sz w:val="20"/>
                <w:szCs w:val="20"/>
              </w:rPr>
              <w:t>Blocking entails an additional pathloss of 10dB applied to both DL and UL</w:t>
            </w:r>
          </w:p>
          <w:p w14:paraId="07911E44" w14:textId="77777777" w:rsidR="00F06766" w:rsidRPr="00F42D10" w:rsidRDefault="00F06766" w:rsidP="00F06766">
            <w:pPr>
              <w:pStyle w:val="ListParagraph"/>
              <w:snapToGrid w:val="0"/>
              <w:spacing w:line="240" w:lineRule="auto"/>
              <w:rPr>
                <w:rFonts w:ascii="Times New Roman" w:hAnsi="Times New Roman" w:cs="Times New Roman"/>
                <w:sz w:val="20"/>
                <w:szCs w:val="20"/>
              </w:rPr>
            </w:pPr>
          </w:p>
          <w:p w14:paraId="6542CAED" w14:textId="77777777" w:rsidR="00F06766" w:rsidRPr="00024151" w:rsidRDefault="00F06766" w:rsidP="00F06766">
            <w:pPr>
              <w:snapToGrid w:val="0"/>
              <w:rPr>
                <w:rFonts w:eastAsia="DengXian"/>
                <w:sz w:val="20"/>
                <w:szCs w:val="20"/>
                <w:lang w:val="en-US"/>
              </w:rPr>
            </w:pPr>
            <w:r w:rsidRPr="00024151">
              <w:rPr>
                <w:rFonts w:eastAsia="DengXian"/>
                <w:sz w:val="20"/>
                <w:szCs w:val="20"/>
                <w:lang w:val="en-US"/>
              </w:rPr>
              <w:lastRenderedPageBreak/>
              <w:t>For simulation with full buffer traffic, a blocking event is determined, started at the beginning of each drop, and sustained throughout the entire drop.</w:t>
            </w:r>
          </w:p>
          <w:p w14:paraId="4E6FD717" w14:textId="77777777" w:rsidR="00F06766" w:rsidRPr="00024151" w:rsidRDefault="00F06766" w:rsidP="00F06766">
            <w:pPr>
              <w:snapToGrid w:val="0"/>
              <w:rPr>
                <w:sz w:val="20"/>
                <w:szCs w:val="20"/>
                <w:lang w:val="en-US"/>
              </w:rPr>
            </w:pPr>
          </w:p>
        </w:tc>
      </w:tr>
      <w:tr w:rsidR="00F06766" w:rsidRPr="00024151" w14:paraId="54568827" w14:textId="77777777" w:rsidTr="00F06766">
        <w:trPr>
          <w:trHeight w:val="55"/>
        </w:trPr>
        <w:tc>
          <w:tcPr>
            <w:tcW w:w="2965" w:type="dxa"/>
          </w:tcPr>
          <w:p w14:paraId="6B544086" w14:textId="77777777" w:rsidR="00F06766" w:rsidRPr="00F42D10" w:rsidRDefault="00F06766" w:rsidP="00F06766">
            <w:pPr>
              <w:snapToGrid w:val="0"/>
              <w:rPr>
                <w:sz w:val="20"/>
                <w:szCs w:val="20"/>
              </w:rPr>
            </w:pPr>
            <w:r w:rsidRPr="00F42D10">
              <w:rPr>
                <w:sz w:val="20"/>
                <w:szCs w:val="20"/>
              </w:rPr>
              <w:lastRenderedPageBreak/>
              <w:t>MPE Modeling</w:t>
            </w:r>
          </w:p>
        </w:tc>
        <w:tc>
          <w:tcPr>
            <w:tcW w:w="6390" w:type="dxa"/>
          </w:tcPr>
          <w:p w14:paraId="1A3C49F2" w14:textId="77777777" w:rsidR="00F06766" w:rsidRPr="00024151" w:rsidRDefault="00F06766" w:rsidP="00F06766">
            <w:pPr>
              <w:snapToGrid w:val="0"/>
              <w:rPr>
                <w:sz w:val="20"/>
                <w:szCs w:val="20"/>
                <w:lang w:val="en-US"/>
              </w:rPr>
            </w:pPr>
            <w:r w:rsidRPr="00024151">
              <w:rPr>
                <w:sz w:val="20"/>
                <w:szCs w:val="20"/>
                <w:lang w:val="en-US"/>
              </w:rPr>
              <w:t>When MPE occurs, the maximum TX power for the covered panel is reduced by 10dB P-MPR. That is, the actual maximum TX transmit power = maximum EIRP (22dBm) – P-MPR (10dB)</w:t>
            </w:r>
          </w:p>
          <w:p w14:paraId="15ED86BC" w14:textId="77777777" w:rsidR="00F06766" w:rsidRPr="00024151" w:rsidRDefault="00F06766" w:rsidP="00F06766">
            <w:pPr>
              <w:snapToGrid w:val="0"/>
              <w:rPr>
                <w:sz w:val="20"/>
                <w:szCs w:val="20"/>
                <w:lang w:val="en-US"/>
              </w:rPr>
            </w:pPr>
          </w:p>
        </w:tc>
      </w:tr>
      <w:tr w:rsidR="00F06766" w:rsidRPr="00024151" w14:paraId="08A99EAD" w14:textId="77777777" w:rsidTr="00F06766">
        <w:trPr>
          <w:trHeight w:val="55"/>
        </w:trPr>
        <w:tc>
          <w:tcPr>
            <w:tcW w:w="2965" w:type="dxa"/>
          </w:tcPr>
          <w:p w14:paraId="16B2204E" w14:textId="77777777" w:rsidR="00F06766" w:rsidRPr="00024151" w:rsidRDefault="00F06766" w:rsidP="00F06766">
            <w:pPr>
              <w:snapToGrid w:val="0"/>
              <w:rPr>
                <w:sz w:val="20"/>
                <w:szCs w:val="20"/>
                <w:lang w:val="en-US"/>
              </w:rPr>
            </w:pPr>
            <w:r w:rsidRPr="00024151">
              <w:rPr>
                <w:sz w:val="20"/>
                <w:szCs w:val="20"/>
                <w:lang w:val="en-US"/>
              </w:rPr>
              <w:t>UE-side panel switching latency</w:t>
            </w:r>
          </w:p>
        </w:tc>
        <w:tc>
          <w:tcPr>
            <w:tcW w:w="6390" w:type="dxa"/>
          </w:tcPr>
          <w:p w14:paraId="4A8E0589" w14:textId="77777777" w:rsidR="00F06766" w:rsidRPr="00024151" w:rsidRDefault="00F06766" w:rsidP="00F06766">
            <w:pPr>
              <w:snapToGrid w:val="0"/>
              <w:rPr>
                <w:sz w:val="20"/>
                <w:szCs w:val="20"/>
                <w:lang w:val="en-US"/>
              </w:rPr>
            </w:pPr>
            <w:r w:rsidRPr="00024151">
              <w:rPr>
                <w:sz w:val="20"/>
                <w:szCs w:val="20"/>
                <w:lang w:val="en-US"/>
              </w:rPr>
              <w:t xml:space="preserve">0 </w:t>
            </w:r>
            <w:proofErr w:type="spellStart"/>
            <w:r w:rsidRPr="00024151">
              <w:rPr>
                <w:sz w:val="20"/>
                <w:szCs w:val="20"/>
                <w:lang w:val="en-US"/>
              </w:rPr>
              <w:t>ms</w:t>
            </w:r>
            <w:proofErr w:type="spellEnd"/>
            <w:r w:rsidRPr="00024151">
              <w:rPr>
                <w:sz w:val="20"/>
                <w:szCs w:val="20"/>
                <w:lang w:val="en-US"/>
              </w:rPr>
              <w:t xml:space="preserve"> for active panels</w:t>
            </w:r>
          </w:p>
          <w:p w14:paraId="45773143" w14:textId="77777777" w:rsidR="00F06766" w:rsidRPr="00024151" w:rsidRDefault="00F06766" w:rsidP="00F06766">
            <w:pPr>
              <w:snapToGrid w:val="0"/>
              <w:rPr>
                <w:sz w:val="20"/>
                <w:szCs w:val="20"/>
                <w:lang w:val="en-US"/>
              </w:rPr>
            </w:pPr>
            <w:r w:rsidRPr="00024151">
              <w:rPr>
                <w:sz w:val="20"/>
                <w:szCs w:val="20"/>
                <w:lang w:val="en-US"/>
              </w:rPr>
              <w:t>Companies explain the assumed switching latency for inactive panels</w:t>
            </w:r>
          </w:p>
        </w:tc>
      </w:tr>
      <w:tr w:rsidR="00F06766" w:rsidRPr="00F42D10" w14:paraId="20BD6ADB" w14:textId="77777777" w:rsidTr="00F06766">
        <w:trPr>
          <w:trHeight w:val="314"/>
        </w:trPr>
        <w:tc>
          <w:tcPr>
            <w:tcW w:w="2965" w:type="dxa"/>
          </w:tcPr>
          <w:p w14:paraId="6E390353" w14:textId="77777777" w:rsidR="00F06766" w:rsidRPr="00F42D10" w:rsidRDefault="00F06766" w:rsidP="00F06766">
            <w:pPr>
              <w:snapToGrid w:val="0"/>
              <w:rPr>
                <w:sz w:val="20"/>
                <w:szCs w:val="20"/>
              </w:rPr>
            </w:pPr>
            <w:r w:rsidRPr="00F42D10">
              <w:rPr>
                <w:sz w:val="20"/>
                <w:szCs w:val="20"/>
              </w:rPr>
              <w:t>Performance metrics</w:t>
            </w:r>
          </w:p>
        </w:tc>
        <w:tc>
          <w:tcPr>
            <w:tcW w:w="6390" w:type="dxa"/>
          </w:tcPr>
          <w:p w14:paraId="1C417500" w14:textId="77777777" w:rsidR="00F06766" w:rsidRPr="00F42D10" w:rsidRDefault="00F06766" w:rsidP="00F06766">
            <w:pPr>
              <w:pStyle w:val="ListParagraph"/>
              <w:numPr>
                <w:ilvl w:val="0"/>
                <w:numId w:val="38"/>
              </w:numPr>
              <w:spacing w:after="160"/>
              <w:ind w:left="342" w:hanging="342"/>
              <w:contextualSpacing/>
              <w:rPr>
                <w:rFonts w:ascii="Times New Roman" w:hAnsi="Times New Roman" w:cs="Times New Roman"/>
                <w:b/>
                <w:sz w:val="20"/>
                <w:szCs w:val="20"/>
              </w:rPr>
            </w:pPr>
            <w:r w:rsidRPr="00F42D10">
              <w:rPr>
                <w:rFonts w:ascii="Times New Roman" w:hAnsi="Times New Roman" w:cs="Times New Roman"/>
                <w:sz w:val="20"/>
                <w:szCs w:val="20"/>
              </w:rPr>
              <w:t xml:space="preserve">CDF of </w:t>
            </w:r>
            <w:r>
              <w:rPr>
                <w:rFonts w:ascii="Times New Roman" w:hAnsi="Times New Roman" w:cs="Times New Roman"/>
                <w:sz w:val="20"/>
                <w:szCs w:val="20"/>
              </w:rPr>
              <w:t>UE throughput</w:t>
            </w:r>
            <w:r w:rsidRPr="00F42D10">
              <w:rPr>
                <w:rFonts w:ascii="Times New Roman" w:hAnsi="Times New Roman" w:cs="Times New Roman"/>
                <w:sz w:val="20"/>
                <w:szCs w:val="20"/>
              </w:rPr>
              <w:t xml:space="preserve">, avg. and 5% </w:t>
            </w:r>
            <w:r>
              <w:rPr>
                <w:rFonts w:ascii="Times New Roman" w:hAnsi="Times New Roman" w:cs="Times New Roman"/>
                <w:sz w:val="20"/>
                <w:szCs w:val="20"/>
              </w:rPr>
              <w:t>UE throughput</w:t>
            </w:r>
            <w:r w:rsidRPr="00F42D10">
              <w:rPr>
                <w:rFonts w:ascii="Times New Roman" w:hAnsi="Times New Roman" w:cs="Times New Roman"/>
                <w:sz w:val="20"/>
                <w:szCs w:val="20"/>
              </w:rPr>
              <w:t xml:space="preserve"> (representing cell-edge coverage)</w:t>
            </w:r>
            <w:r>
              <w:rPr>
                <w:rFonts w:ascii="Times New Roman" w:hAnsi="Times New Roman" w:cs="Times New Roman"/>
                <w:sz w:val="20"/>
                <w:szCs w:val="20"/>
              </w:rPr>
              <w:t>, cf. Appendix</w:t>
            </w:r>
          </w:p>
          <w:p w14:paraId="16323F91" w14:textId="77777777" w:rsidR="00F06766" w:rsidRPr="00F42D10" w:rsidRDefault="00F06766" w:rsidP="00F06766">
            <w:pPr>
              <w:pStyle w:val="ListParagraph"/>
              <w:numPr>
                <w:ilvl w:val="0"/>
                <w:numId w:val="38"/>
              </w:numPr>
              <w:spacing w:after="160"/>
              <w:ind w:left="342" w:hanging="342"/>
              <w:contextualSpacing/>
              <w:rPr>
                <w:rFonts w:ascii="Times New Roman" w:hAnsi="Times New Roman" w:cs="Times New Roman"/>
                <w:b/>
                <w:sz w:val="20"/>
                <w:szCs w:val="20"/>
              </w:rPr>
            </w:pPr>
            <w:r w:rsidRPr="00F42D10">
              <w:rPr>
                <w:rFonts w:ascii="Times New Roman" w:hAnsi="Times New Roman" w:cs="Times New Roman"/>
                <w:sz w:val="20"/>
                <w:szCs w:val="20"/>
              </w:rPr>
              <w:t xml:space="preserve">RSRP distribution </w:t>
            </w:r>
          </w:p>
        </w:tc>
      </w:tr>
    </w:tbl>
    <w:p w14:paraId="1DB90A7C" w14:textId="77777777" w:rsidR="00F06766" w:rsidRPr="00F42D10" w:rsidRDefault="00F06766" w:rsidP="00F06766">
      <w:pPr>
        <w:snapToGrid w:val="0"/>
        <w:spacing w:after="120" w:line="288" w:lineRule="auto"/>
        <w:jc w:val="both"/>
        <w:rPr>
          <w:b/>
          <w:color w:val="3333FF"/>
          <w:sz w:val="20"/>
          <w:szCs w:val="20"/>
        </w:rPr>
      </w:pPr>
    </w:p>
    <w:p w14:paraId="5ED3EFFE" w14:textId="77777777" w:rsidR="00F06766" w:rsidRPr="00024151" w:rsidRDefault="00F06766" w:rsidP="00F06766">
      <w:pPr>
        <w:snapToGrid w:val="0"/>
        <w:spacing w:after="120" w:line="288" w:lineRule="auto"/>
        <w:jc w:val="center"/>
        <w:rPr>
          <w:b/>
          <w:sz w:val="20"/>
          <w:szCs w:val="20"/>
          <w:lang w:val="en-US"/>
        </w:rPr>
      </w:pPr>
      <w:r w:rsidRPr="00024151">
        <w:rPr>
          <w:b/>
          <w:sz w:val="20"/>
          <w:lang w:val="en-US"/>
        </w:rPr>
        <w:t xml:space="preserve">Table </w:t>
      </w:r>
      <w:r w:rsidRPr="00F42D10">
        <w:rPr>
          <w:b/>
          <w:sz w:val="20"/>
        </w:rPr>
        <w:fldChar w:fldCharType="begin"/>
      </w:r>
      <w:r w:rsidRPr="00024151">
        <w:rPr>
          <w:b/>
          <w:sz w:val="20"/>
          <w:lang w:val="en-US"/>
        </w:rPr>
        <w:instrText xml:space="preserve"> SEQ Table \* ARABIC </w:instrText>
      </w:r>
      <w:r w:rsidRPr="00F42D10">
        <w:rPr>
          <w:b/>
          <w:sz w:val="20"/>
        </w:rPr>
        <w:fldChar w:fldCharType="separate"/>
      </w:r>
      <w:r w:rsidRPr="00024151">
        <w:rPr>
          <w:b/>
          <w:sz w:val="20"/>
          <w:lang w:val="en-US"/>
        </w:rPr>
        <w:t>5</w:t>
      </w:r>
      <w:r w:rsidRPr="00F42D10">
        <w:rPr>
          <w:b/>
          <w:sz w:val="20"/>
        </w:rPr>
        <w:fldChar w:fldCharType="end"/>
      </w:r>
      <w:r w:rsidRPr="00024151">
        <w:rPr>
          <w:b/>
          <w:sz w:val="20"/>
          <w:lang w:val="en-US"/>
        </w:rPr>
        <w:t xml:space="preserve"> Baseline assumptions for SLS: </w:t>
      </w:r>
      <w:r w:rsidRPr="00024151">
        <w:rPr>
          <w:b/>
          <w:sz w:val="20"/>
          <w:szCs w:val="20"/>
          <w:lang w:val="en-US"/>
        </w:rPr>
        <w:t>Additional simulation assumptions for HST scenario (FR2), mainly from TR 38.802, e.g. Table A.2.1-2</w:t>
      </w:r>
    </w:p>
    <w:tbl>
      <w:tblPr>
        <w:tblStyle w:val="TableGrid"/>
        <w:tblW w:w="9355" w:type="dxa"/>
        <w:tblLook w:val="04A0" w:firstRow="1" w:lastRow="0" w:firstColumn="1" w:lastColumn="0" w:noHBand="0" w:noVBand="1"/>
      </w:tblPr>
      <w:tblGrid>
        <w:gridCol w:w="2335"/>
        <w:gridCol w:w="7020"/>
      </w:tblGrid>
      <w:tr w:rsidR="00F06766" w:rsidRPr="00F42D10" w14:paraId="44BE5F05" w14:textId="77777777" w:rsidTr="00F06766">
        <w:tc>
          <w:tcPr>
            <w:tcW w:w="2335" w:type="dxa"/>
            <w:shd w:val="clear" w:color="auto" w:fill="D5DCE4" w:themeFill="text2" w:themeFillTint="33"/>
          </w:tcPr>
          <w:p w14:paraId="03AABEEA" w14:textId="77777777" w:rsidR="00F06766" w:rsidRPr="00F42D10" w:rsidRDefault="00F06766" w:rsidP="00F06766">
            <w:pPr>
              <w:rPr>
                <w:b/>
                <w:sz w:val="20"/>
                <w:szCs w:val="20"/>
              </w:rPr>
            </w:pPr>
            <w:r w:rsidRPr="00F42D10">
              <w:rPr>
                <w:b/>
                <w:sz w:val="20"/>
                <w:szCs w:val="20"/>
              </w:rPr>
              <w:t>Parameters</w:t>
            </w:r>
          </w:p>
        </w:tc>
        <w:tc>
          <w:tcPr>
            <w:tcW w:w="7020" w:type="dxa"/>
            <w:shd w:val="clear" w:color="auto" w:fill="D5DCE4" w:themeFill="text2" w:themeFillTint="33"/>
          </w:tcPr>
          <w:p w14:paraId="486AD01A" w14:textId="77777777" w:rsidR="00F06766" w:rsidRPr="00F42D10" w:rsidRDefault="00F06766" w:rsidP="00F06766">
            <w:pPr>
              <w:rPr>
                <w:b/>
                <w:sz w:val="20"/>
                <w:szCs w:val="20"/>
              </w:rPr>
            </w:pPr>
            <w:r w:rsidRPr="00F42D10">
              <w:rPr>
                <w:b/>
                <w:sz w:val="20"/>
                <w:szCs w:val="20"/>
              </w:rPr>
              <w:t>Values</w:t>
            </w:r>
          </w:p>
        </w:tc>
      </w:tr>
      <w:tr w:rsidR="00F06766" w:rsidRPr="00F42D10" w14:paraId="559A9A9B" w14:textId="77777777" w:rsidTr="00F06766">
        <w:trPr>
          <w:trHeight w:val="98"/>
        </w:trPr>
        <w:tc>
          <w:tcPr>
            <w:tcW w:w="2335" w:type="dxa"/>
          </w:tcPr>
          <w:p w14:paraId="56501A08" w14:textId="77777777" w:rsidR="00F06766" w:rsidRPr="00F42D10" w:rsidRDefault="00F06766" w:rsidP="00F06766">
            <w:pPr>
              <w:rPr>
                <w:sz w:val="20"/>
                <w:szCs w:val="20"/>
              </w:rPr>
            </w:pPr>
            <w:r w:rsidRPr="00F42D10">
              <w:rPr>
                <w:sz w:val="20"/>
              </w:rPr>
              <w:t>Carrier Frequency</w:t>
            </w:r>
          </w:p>
        </w:tc>
        <w:tc>
          <w:tcPr>
            <w:tcW w:w="7020" w:type="dxa"/>
          </w:tcPr>
          <w:p w14:paraId="5A038F3A" w14:textId="77777777" w:rsidR="00F06766" w:rsidRPr="00F42D10" w:rsidRDefault="00F06766" w:rsidP="00F06766">
            <w:pPr>
              <w:rPr>
                <w:sz w:val="20"/>
                <w:szCs w:val="20"/>
              </w:rPr>
            </w:pPr>
            <w:r w:rsidRPr="00F42D10">
              <w:rPr>
                <w:sz w:val="20"/>
              </w:rPr>
              <w:t>30 GHz</w:t>
            </w:r>
          </w:p>
        </w:tc>
      </w:tr>
      <w:tr w:rsidR="00F06766" w:rsidRPr="00F42D10" w14:paraId="56C6B6CF" w14:textId="77777777" w:rsidTr="00F06766">
        <w:trPr>
          <w:trHeight w:val="54"/>
        </w:trPr>
        <w:tc>
          <w:tcPr>
            <w:tcW w:w="2335" w:type="dxa"/>
          </w:tcPr>
          <w:p w14:paraId="272A13C9" w14:textId="77777777" w:rsidR="00F06766" w:rsidRPr="00F42D10" w:rsidRDefault="00F06766" w:rsidP="00F06766">
            <w:pPr>
              <w:rPr>
                <w:sz w:val="20"/>
                <w:szCs w:val="20"/>
              </w:rPr>
            </w:pPr>
            <w:r w:rsidRPr="00F42D10">
              <w:rPr>
                <w:sz w:val="20"/>
              </w:rPr>
              <w:t>Scenario</w:t>
            </w:r>
          </w:p>
        </w:tc>
        <w:tc>
          <w:tcPr>
            <w:tcW w:w="7020" w:type="dxa"/>
          </w:tcPr>
          <w:p w14:paraId="1445D9F1" w14:textId="77777777" w:rsidR="00F06766" w:rsidRPr="00F42D10" w:rsidRDefault="00F06766" w:rsidP="00F06766">
            <w:pPr>
              <w:rPr>
                <w:sz w:val="20"/>
                <w:szCs w:val="20"/>
              </w:rPr>
            </w:pPr>
            <w:r w:rsidRPr="00F42D10">
              <w:rPr>
                <w:sz w:val="20"/>
              </w:rPr>
              <w:t>UMa LOS</w:t>
            </w:r>
          </w:p>
        </w:tc>
      </w:tr>
      <w:tr w:rsidR="00F06766" w:rsidRPr="00F42D10" w14:paraId="484F1F28" w14:textId="77777777" w:rsidTr="00F06766">
        <w:trPr>
          <w:trHeight w:val="54"/>
        </w:trPr>
        <w:tc>
          <w:tcPr>
            <w:tcW w:w="2335" w:type="dxa"/>
          </w:tcPr>
          <w:p w14:paraId="20600F40" w14:textId="77777777" w:rsidR="00F06766" w:rsidRPr="00F42D10" w:rsidRDefault="00F06766" w:rsidP="00F06766">
            <w:pPr>
              <w:rPr>
                <w:sz w:val="20"/>
                <w:szCs w:val="20"/>
              </w:rPr>
            </w:pPr>
            <w:r w:rsidRPr="00F42D10">
              <w:rPr>
                <w:sz w:val="20"/>
              </w:rPr>
              <w:t>System BW</w:t>
            </w:r>
          </w:p>
        </w:tc>
        <w:tc>
          <w:tcPr>
            <w:tcW w:w="7020" w:type="dxa"/>
          </w:tcPr>
          <w:p w14:paraId="2035BAE1" w14:textId="77777777" w:rsidR="00F06766" w:rsidRPr="00F42D10" w:rsidRDefault="00F06766" w:rsidP="00F06766">
            <w:pPr>
              <w:rPr>
                <w:sz w:val="20"/>
                <w:szCs w:val="20"/>
              </w:rPr>
            </w:pPr>
            <w:r w:rsidRPr="00F42D10">
              <w:rPr>
                <w:sz w:val="20"/>
              </w:rPr>
              <w:t>80 MHz</w:t>
            </w:r>
          </w:p>
        </w:tc>
      </w:tr>
      <w:tr w:rsidR="00F06766" w:rsidRPr="00F42D10" w14:paraId="13EA1188" w14:textId="77777777" w:rsidTr="00F06766">
        <w:trPr>
          <w:trHeight w:val="54"/>
        </w:trPr>
        <w:tc>
          <w:tcPr>
            <w:tcW w:w="2335" w:type="dxa"/>
          </w:tcPr>
          <w:p w14:paraId="1E6B1E12" w14:textId="77777777" w:rsidR="00F06766" w:rsidRPr="00024151" w:rsidRDefault="00F06766" w:rsidP="00F06766">
            <w:pPr>
              <w:rPr>
                <w:sz w:val="20"/>
                <w:szCs w:val="20"/>
                <w:lang w:val="en-US"/>
              </w:rPr>
            </w:pPr>
            <w:r w:rsidRPr="00024151">
              <w:rPr>
                <w:sz w:val="20"/>
                <w:lang w:val="en-US"/>
              </w:rPr>
              <w:t>BS and RRH Tx Power</w:t>
            </w:r>
          </w:p>
        </w:tc>
        <w:tc>
          <w:tcPr>
            <w:tcW w:w="7020" w:type="dxa"/>
          </w:tcPr>
          <w:p w14:paraId="0E6D5888" w14:textId="77777777" w:rsidR="00F06766" w:rsidRPr="00F42D10" w:rsidRDefault="00F06766" w:rsidP="00F06766">
            <w:pPr>
              <w:rPr>
                <w:sz w:val="20"/>
                <w:szCs w:val="20"/>
              </w:rPr>
            </w:pPr>
            <w:r w:rsidRPr="00F42D10">
              <w:rPr>
                <w:sz w:val="20"/>
              </w:rPr>
              <w:t>30 dBm, max EIRP 69 dBm</w:t>
            </w:r>
          </w:p>
        </w:tc>
      </w:tr>
      <w:tr w:rsidR="00F06766" w:rsidRPr="00F42D10" w14:paraId="16917897" w14:textId="77777777" w:rsidTr="00F06766">
        <w:trPr>
          <w:trHeight w:val="54"/>
        </w:trPr>
        <w:tc>
          <w:tcPr>
            <w:tcW w:w="2335" w:type="dxa"/>
          </w:tcPr>
          <w:p w14:paraId="15AF43C2" w14:textId="77777777" w:rsidR="00F06766" w:rsidRPr="00F42D10" w:rsidRDefault="00F06766" w:rsidP="00F06766">
            <w:pPr>
              <w:rPr>
                <w:sz w:val="20"/>
                <w:szCs w:val="20"/>
              </w:rPr>
            </w:pPr>
            <w:r w:rsidRPr="00F42D10">
              <w:rPr>
                <w:sz w:val="20"/>
              </w:rPr>
              <w:t>UE Tx Power</w:t>
            </w:r>
          </w:p>
        </w:tc>
        <w:tc>
          <w:tcPr>
            <w:tcW w:w="7020" w:type="dxa"/>
          </w:tcPr>
          <w:p w14:paraId="7FC72989" w14:textId="77777777" w:rsidR="00F06766" w:rsidRPr="00F42D10" w:rsidRDefault="00F06766" w:rsidP="00F06766">
            <w:pPr>
              <w:rPr>
                <w:sz w:val="20"/>
                <w:szCs w:val="20"/>
              </w:rPr>
            </w:pPr>
            <w:r w:rsidRPr="00F42D10">
              <w:rPr>
                <w:sz w:val="20"/>
              </w:rPr>
              <w:t>21 dBm, max EIRP 43 dBm</w:t>
            </w:r>
          </w:p>
        </w:tc>
      </w:tr>
      <w:tr w:rsidR="00F06766" w:rsidRPr="00F42D10" w14:paraId="3D2347AD" w14:textId="77777777" w:rsidTr="00F06766">
        <w:trPr>
          <w:trHeight w:val="54"/>
        </w:trPr>
        <w:tc>
          <w:tcPr>
            <w:tcW w:w="2335" w:type="dxa"/>
          </w:tcPr>
          <w:p w14:paraId="65CBEA3B" w14:textId="77777777" w:rsidR="00F06766" w:rsidRPr="00F42D10" w:rsidRDefault="00F06766" w:rsidP="00F06766">
            <w:pPr>
              <w:rPr>
                <w:sz w:val="20"/>
                <w:szCs w:val="20"/>
              </w:rPr>
            </w:pPr>
            <w:r w:rsidRPr="00F42D10">
              <w:rPr>
                <w:sz w:val="20"/>
              </w:rPr>
              <w:t>BS receiver Noise Figure</w:t>
            </w:r>
          </w:p>
        </w:tc>
        <w:tc>
          <w:tcPr>
            <w:tcW w:w="7020" w:type="dxa"/>
          </w:tcPr>
          <w:p w14:paraId="5AE5CE2C" w14:textId="77777777" w:rsidR="00F06766" w:rsidRPr="00F42D10" w:rsidRDefault="00F06766" w:rsidP="00F06766">
            <w:pPr>
              <w:rPr>
                <w:sz w:val="20"/>
                <w:szCs w:val="20"/>
              </w:rPr>
            </w:pPr>
            <w:r w:rsidRPr="00F42D10">
              <w:rPr>
                <w:sz w:val="20"/>
              </w:rPr>
              <w:t>7 dB</w:t>
            </w:r>
          </w:p>
        </w:tc>
      </w:tr>
      <w:tr w:rsidR="00F06766" w:rsidRPr="00F42D10" w14:paraId="284ADA51" w14:textId="77777777" w:rsidTr="00F06766">
        <w:trPr>
          <w:trHeight w:val="54"/>
        </w:trPr>
        <w:tc>
          <w:tcPr>
            <w:tcW w:w="2335" w:type="dxa"/>
          </w:tcPr>
          <w:p w14:paraId="0D817B96" w14:textId="77777777" w:rsidR="00F06766" w:rsidRPr="00F42D10" w:rsidRDefault="00F06766" w:rsidP="00F06766">
            <w:pPr>
              <w:rPr>
                <w:sz w:val="20"/>
                <w:szCs w:val="20"/>
              </w:rPr>
            </w:pPr>
            <w:r w:rsidRPr="00F42D10">
              <w:rPr>
                <w:sz w:val="20"/>
              </w:rPr>
              <w:t>UE receiver Noise Figure</w:t>
            </w:r>
          </w:p>
        </w:tc>
        <w:tc>
          <w:tcPr>
            <w:tcW w:w="7020" w:type="dxa"/>
          </w:tcPr>
          <w:p w14:paraId="3B6EE4C3" w14:textId="77777777" w:rsidR="00F06766" w:rsidRPr="00F42D10" w:rsidRDefault="00F06766" w:rsidP="00F06766">
            <w:pPr>
              <w:rPr>
                <w:sz w:val="20"/>
                <w:szCs w:val="20"/>
              </w:rPr>
            </w:pPr>
            <w:r w:rsidRPr="00F42D10">
              <w:rPr>
                <w:sz w:val="20"/>
              </w:rPr>
              <w:t>13 dB</w:t>
            </w:r>
          </w:p>
        </w:tc>
      </w:tr>
      <w:tr w:rsidR="00F06766" w:rsidRPr="00F42D10" w14:paraId="4D15FB8B" w14:textId="77777777" w:rsidTr="00F06766">
        <w:trPr>
          <w:trHeight w:val="54"/>
        </w:trPr>
        <w:tc>
          <w:tcPr>
            <w:tcW w:w="2335" w:type="dxa"/>
          </w:tcPr>
          <w:p w14:paraId="5AA62838" w14:textId="77777777" w:rsidR="00F06766" w:rsidRPr="00024151" w:rsidRDefault="00F06766" w:rsidP="00F06766">
            <w:pPr>
              <w:rPr>
                <w:sz w:val="20"/>
                <w:szCs w:val="20"/>
                <w:lang w:val="en-US"/>
              </w:rPr>
            </w:pPr>
            <w:r w:rsidRPr="00024151">
              <w:rPr>
                <w:sz w:val="20"/>
                <w:lang w:val="en-US"/>
              </w:rPr>
              <w:t>Distance between cell and nearest lane</w:t>
            </w:r>
          </w:p>
        </w:tc>
        <w:tc>
          <w:tcPr>
            <w:tcW w:w="7020" w:type="dxa"/>
          </w:tcPr>
          <w:p w14:paraId="3361E188" w14:textId="77777777" w:rsidR="00F06766" w:rsidRPr="00F42D10" w:rsidRDefault="00F06766" w:rsidP="00F06766">
            <w:pPr>
              <w:rPr>
                <w:sz w:val="20"/>
                <w:szCs w:val="20"/>
              </w:rPr>
            </w:pPr>
            <w:r w:rsidRPr="00F42D10">
              <w:rPr>
                <w:sz w:val="20"/>
              </w:rPr>
              <w:t>5m</w:t>
            </w:r>
          </w:p>
        </w:tc>
      </w:tr>
      <w:tr w:rsidR="00F06766" w:rsidRPr="00F42D10" w14:paraId="229715C1" w14:textId="77777777" w:rsidTr="00F06766">
        <w:trPr>
          <w:trHeight w:val="54"/>
        </w:trPr>
        <w:tc>
          <w:tcPr>
            <w:tcW w:w="2335" w:type="dxa"/>
          </w:tcPr>
          <w:p w14:paraId="5F5FD4DE" w14:textId="77777777" w:rsidR="00F06766" w:rsidRPr="00F42D10" w:rsidRDefault="00F06766" w:rsidP="00F06766">
            <w:pPr>
              <w:rPr>
                <w:sz w:val="20"/>
                <w:szCs w:val="20"/>
              </w:rPr>
            </w:pPr>
            <w:r w:rsidRPr="00F42D10">
              <w:rPr>
                <w:sz w:val="20"/>
              </w:rPr>
              <w:t>Inter site distance</w:t>
            </w:r>
          </w:p>
        </w:tc>
        <w:tc>
          <w:tcPr>
            <w:tcW w:w="7020" w:type="dxa"/>
          </w:tcPr>
          <w:p w14:paraId="7A762C86" w14:textId="77777777" w:rsidR="00F06766" w:rsidRPr="00F42D10" w:rsidRDefault="00F06766" w:rsidP="00F06766">
            <w:pPr>
              <w:rPr>
                <w:sz w:val="20"/>
                <w:szCs w:val="20"/>
              </w:rPr>
            </w:pPr>
            <w:r w:rsidRPr="00F42D10">
              <w:rPr>
                <w:sz w:val="20"/>
              </w:rPr>
              <w:t>200m</w:t>
            </w:r>
          </w:p>
        </w:tc>
      </w:tr>
      <w:tr w:rsidR="00F06766" w:rsidRPr="00F42D10" w14:paraId="60F77D31" w14:textId="77777777" w:rsidTr="00F06766">
        <w:trPr>
          <w:trHeight w:val="54"/>
        </w:trPr>
        <w:tc>
          <w:tcPr>
            <w:tcW w:w="2335" w:type="dxa"/>
          </w:tcPr>
          <w:p w14:paraId="192A575F" w14:textId="77777777" w:rsidR="00F06766" w:rsidRPr="00F42D10" w:rsidRDefault="00F06766" w:rsidP="00F06766">
            <w:pPr>
              <w:rPr>
                <w:sz w:val="20"/>
                <w:szCs w:val="20"/>
              </w:rPr>
            </w:pPr>
            <w:r w:rsidRPr="00F42D10">
              <w:rPr>
                <w:sz w:val="20"/>
              </w:rPr>
              <w:t>BS Antenna height</w:t>
            </w:r>
          </w:p>
        </w:tc>
        <w:tc>
          <w:tcPr>
            <w:tcW w:w="7020" w:type="dxa"/>
          </w:tcPr>
          <w:p w14:paraId="08668B37" w14:textId="77777777" w:rsidR="00F06766" w:rsidRPr="00F42D10" w:rsidRDefault="00F06766" w:rsidP="00F06766">
            <w:pPr>
              <w:rPr>
                <w:sz w:val="20"/>
                <w:szCs w:val="20"/>
              </w:rPr>
            </w:pPr>
            <w:r w:rsidRPr="00F42D10">
              <w:rPr>
                <w:sz w:val="20"/>
              </w:rPr>
              <w:t>2.5m</w:t>
            </w:r>
          </w:p>
        </w:tc>
      </w:tr>
      <w:tr w:rsidR="00F06766" w:rsidRPr="00F42D10" w14:paraId="67FA185A" w14:textId="77777777" w:rsidTr="00F06766">
        <w:trPr>
          <w:trHeight w:val="54"/>
        </w:trPr>
        <w:tc>
          <w:tcPr>
            <w:tcW w:w="2335" w:type="dxa"/>
          </w:tcPr>
          <w:p w14:paraId="118AB432" w14:textId="77777777" w:rsidR="00F06766" w:rsidRPr="00F42D10" w:rsidRDefault="00F06766" w:rsidP="00F06766">
            <w:pPr>
              <w:rPr>
                <w:sz w:val="20"/>
                <w:szCs w:val="20"/>
              </w:rPr>
            </w:pPr>
            <w:r w:rsidRPr="00F42D10">
              <w:rPr>
                <w:sz w:val="20"/>
              </w:rPr>
              <w:t>UE Antenna height</w:t>
            </w:r>
          </w:p>
        </w:tc>
        <w:tc>
          <w:tcPr>
            <w:tcW w:w="7020" w:type="dxa"/>
          </w:tcPr>
          <w:p w14:paraId="112F8B27" w14:textId="77777777" w:rsidR="00F06766" w:rsidRPr="00F42D10" w:rsidRDefault="00F06766" w:rsidP="00F06766">
            <w:pPr>
              <w:rPr>
                <w:sz w:val="20"/>
                <w:szCs w:val="20"/>
              </w:rPr>
            </w:pPr>
            <w:r w:rsidRPr="00F42D10">
              <w:rPr>
                <w:sz w:val="20"/>
              </w:rPr>
              <w:t>1.5 m</w:t>
            </w:r>
          </w:p>
        </w:tc>
      </w:tr>
      <w:tr w:rsidR="00F06766" w:rsidRPr="00024151" w14:paraId="13ECADEF" w14:textId="77777777" w:rsidTr="00F06766">
        <w:trPr>
          <w:trHeight w:val="54"/>
        </w:trPr>
        <w:tc>
          <w:tcPr>
            <w:tcW w:w="2335" w:type="dxa"/>
          </w:tcPr>
          <w:p w14:paraId="008535F3" w14:textId="77777777" w:rsidR="00F06766" w:rsidRPr="00F42D10" w:rsidRDefault="00F06766" w:rsidP="00F06766">
            <w:pPr>
              <w:rPr>
                <w:sz w:val="20"/>
                <w:szCs w:val="20"/>
              </w:rPr>
            </w:pPr>
            <w:r w:rsidRPr="00F42D10">
              <w:rPr>
                <w:sz w:val="20"/>
              </w:rPr>
              <w:t>Train penetration Loss</w:t>
            </w:r>
          </w:p>
        </w:tc>
        <w:tc>
          <w:tcPr>
            <w:tcW w:w="7020" w:type="dxa"/>
          </w:tcPr>
          <w:p w14:paraId="11736B6B" w14:textId="77777777" w:rsidR="00F06766" w:rsidRPr="00024151" w:rsidRDefault="00F06766" w:rsidP="00F06766">
            <w:pPr>
              <w:rPr>
                <w:sz w:val="20"/>
                <w:szCs w:val="20"/>
                <w:lang w:val="en-US"/>
              </w:rPr>
            </w:pPr>
            <w:r w:rsidRPr="00024151">
              <w:rPr>
                <w:sz w:val="20"/>
                <w:lang w:val="en-US"/>
              </w:rPr>
              <w:t xml:space="preserve">38.901, sec 7.4.3.2: </w:t>
            </w:r>
            <w:r w:rsidRPr="00F42D10">
              <w:rPr>
                <w:sz w:val="20"/>
              </w:rPr>
              <w:t>μ</w:t>
            </w:r>
            <w:r w:rsidRPr="00024151">
              <w:rPr>
                <w:sz w:val="20"/>
                <w:lang w:val="en-US"/>
              </w:rPr>
              <w:t xml:space="preserve"> = 9 dB, </w:t>
            </w:r>
            <w:r w:rsidRPr="00F42D10">
              <w:rPr>
                <w:sz w:val="20"/>
              </w:rPr>
              <w:t>σ</w:t>
            </w:r>
            <w:r w:rsidRPr="00024151">
              <w:rPr>
                <w:sz w:val="20"/>
                <w:vertAlign w:val="subscript"/>
                <w:lang w:val="en-US"/>
              </w:rPr>
              <w:t>p</w:t>
            </w:r>
            <w:r w:rsidRPr="00024151">
              <w:rPr>
                <w:sz w:val="20"/>
                <w:lang w:val="en-US"/>
              </w:rPr>
              <w:t xml:space="preserve"> = 5 dB</w:t>
            </w:r>
          </w:p>
        </w:tc>
      </w:tr>
      <w:tr w:rsidR="00F06766" w:rsidRPr="00024151" w14:paraId="1AAAFCF5" w14:textId="77777777" w:rsidTr="00F06766">
        <w:trPr>
          <w:trHeight w:val="54"/>
        </w:trPr>
        <w:tc>
          <w:tcPr>
            <w:tcW w:w="2335" w:type="dxa"/>
          </w:tcPr>
          <w:p w14:paraId="79D9626E" w14:textId="77777777" w:rsidR="00F06766" w:rsidRPr="00F42D10" w:rsidRDefault="00F06766" w:rsidP="00F06766">
            <w:pPr>
              <w:rPr>
                <w:sz w:val="20"/>
              </w:rPr>
            </w:pPr>
            <w:r w:rsidRPr="00F42D10">
              <w:rPr>
                <w:sz w:val="20"/>
              </w:rPr>
              <w:t>RRH and cell association</w:t>
            </w:r>
          </w:p>
        </w:tc>
        <w:tc>
          <w:tcPr>
            <w:tcW w:w="7020" w:type="dxa"/>
          </w:tcPr>
          <w:p w14:paraId="23A20BCA" w14:textId="77777777" w:rsidR="00F06766" w:rsidRPr="00024151" w:rsidRDefault="00F06766" w:rsidP="00F06766">
            <w:pPr>
              <w:rPr>
                <w:sz w:val="20"/>
                <w:highlight w:val="yellow"/>
                <w:lang w:val="en-US"/>
              </w:rPr>
            </w:pPr>
            <w:r w:rsidRPr="00024151">
              <w:rPr>
                <w:sz w:val="20"/>
                <w:lang w:val="en-US"/>
              </w:rPr>
              <w:t>For intra-cell mobility simulation, all RRHs are assumed to be associated with one cell (for simplicity)</w:t>
            </w:r>
          </w:p>
        </w:tc>
      </w:tr>
    </w:tbl>
    <w:p w14:paraId="2CB6FBCD" w14:textId="77777777" w:rsidR="00F06766" w:rsidRPr="00024151" w:rsidRDefault="00F06766" w:rsidP="00F06766">
      <w:pPr>
        <w:snapToGrid w:val="0"/>
        <w:spacing w:after="120" w:line="288" w:lineRule="auto"/>
        <w:jc w:val="both"/>
        <w:rPr>
          <w:b/>
          <w:color w:val="3333FF"/>
          <w:sz w:val="20"/>
          <w:szCs w:val="20"/>
          <w:lang w:val="en-US"/>
        </w:rPr>
      </w:pPr>
    </w:p>
    <w:p w14:paraId="02E6B52D" w14:textId="77777777" w:rsidR="00F06766" w:rsidRPr="00024151" w:rsidRDefault="00F06766" w:rsidP="00F06766">
      <w:pPr>
        <w:snapToGrid w:val="0"/>
        <w:spacing w:after="120" w:line="288" w:lineRule="auto"/>
        <w:contextualSpacing/>
        <w:jc w:val="both"/>
        <w:rPr>
          <w:b/>
          <w:color w:val="3333FF"/>
          <w:sz w:val="20"/>
          <w:szCs w:val="20"/>
          <w:lang w:val="en-US"/>
        </w:rPr>
      </w:pPr>
    </w:p>
    <w:p w14:paraId="67C140AF" w14:textId="77777777" w:rsidR="00F06766" w:rsidRPr="00024151" w:rsidRDefault="00F06766" w:rsidP="00F06766">
      <w:pPr>
        <w:snapToGrid w:val="0"/>
        <w:spacing w:after="120" w:line="288" w:lineRule="auto"/>
        <w:contextualSpacing/>
        <w:jc w:val="both"/>
        <w:rPr>
          <w:color w:val="000000" w:themeColor="text1"/>
          <w:sz w:val="20"/>
          <w:szCs w:val="20"/>
          <w:lang w:val="en-US"/>
        </w:rPr>
      </w:pPr>
      <w:r w:rsidRPr="00024151">
        <w:rPr>
          <w:b/>
          <w:color w:val="000000" w:themeColor="text1"/>
          <w:sz w:val="20"/>
          <w:szCs w:val="20"/>
          <w:lang w:val="en-US"/>
        </w:rPr>
        <w:t>Proposal 3</w:t>
      </w:r>
      <w:r w:rsidRPr="00024151">
        <w:rPr>
          <w:color w:val="000000" w:themeColor="text1"/>
          <w:sz w:val="20"/>
          <w:szCs w:val="20"/>
          <w:lang w:val="en-US"/>
        </w:rPr>
        <w:t>:  Further discuss and decide in RAN1#102-e the need for baseline EVM for inter-cell mobility and, if needed, all the pertinent details including:</w:t>
      </w:r>
    </w:p>
    <w:p w14:paraId="7BDB6266" w14:textId="77777777" w:rsidR="00F06766" w:rsidRPr="00F42D10" w:rsidRDefault="00F06766" w:rsidP="00F06766">
      <w:pPr>
        <w:pStyle w:val="ListParagraph"/>
        <w:numPr>
          <w:ilvl w:val="0"/>
          <w:numId w:val="39"/>
        </w:numPr>
        <w:snapToGrid w:val="0"/>
        <w:spacing w:after="120" w:line="288" w:lineRule="auto"/>
        <w:contextualSpacing/>
        <w:jc w:val="both"/>
        <w:rPr>
          <w:rFonts w:ascii="Times New Roman" w:hAnsi="Times New Roman" w:cs="Times New Roman"/>
          <w:color w:val="000000" w:themeColor="text1"/>
          <w:sz w:val="20"/>
          <w:szCs w:val="20"/>
        </w:rPr>
      </w:pPr>
      <w:r w:rsidRPr="00F42D10">
        <w:rPr>
          <w:rFonts w:ascii="Times New Roman" w:hAnsi="Times New Roman" w:cs="Times New Roman"/>
          <w:color w:val="000000" w:themeColor="text1"/>
          <w:sz w:val="20"/>
          <w:szCs w:val="20"/>
        </w:rPr>
        <w:t>Simulation type</w:t>
      </w:r>
    </w:p>
    <w:p w14:paraId="2A5AD852" w14:textId="77777777" w:rsidR="00F06766" w:rsidRPr="00F42D10" w:rsidRDefault="00F06766" w:rsidP="00F06766">
      <w:pPr>
        <w:pStyle w:val="ListParagraph"/>
        <w:numPr>
          <w:ilvl w:val="0"/>
          <w:numId w:val="39"/>
        </w:numPr>
        <w:snapToGrid w:val="0"/>
        <w:spacing w:after="120" w:line="288" w:lineRule="auto"/>
        <w:contextualSpacing/>
        <w:jc w:val="both"/>
        <w:rPr>
          <w:rFonts w:ascii="Times New Roman" w:hAnsi="Times New Roman" w:cs="Times New Roman"/>
          <w:color w:val="000000" w:themeColor="text1"/>
          <w:sz w:val="20"/>
          <w:szCs w:val="20"/>
        </w:rPr>
      </w:pPr>
      <w:r w:rsidRPr="00F42D10">
        <w:rPr>
          <w:rFonts w:ascii="Times New Roman" w:hAnsi="Times New Roman" w:cs="Times New Roman"/>
          <w:color w:val="000000" w:themeColor="text1"/>
          <w:sz w:val="20"/>
          <w:szCs w:val="20"/>
        </w:rPr>
        <w:t>Simulation parameters and scenarios</w:t>
      </w:r>
    </w:p>
    <w:p w14:paraId="7A297F9A" w14:textId="77777777" w:rsidR="00F06766" w:rsidRPr="00F42D10" w:rsidRDefault="00F06766" w:rsidP="00F06766">
      <w:pPr>
        <w:pStyle w:val="ListParagraph"/>
        <w:numPr>
          <w:ilvl w:val="0"/>
          <w:numId w:val="39"/>
        </w:numPr>
        <w:snapToGrid w:val="0"/>
        <w:spacing w:after="120" w:line="288" w:lineRule="auto"/>
        <w:contextualSpacing/>
        <w:jc w:val="both"/>
        <w:rPr>
          <w:rFonts w:ascii="Times New Roman" w:hAnsi="Times New Roman" w:cs="Times New Roman"/>
          <w:color w:val="000000" w:themeColor="text1"/>
          <w:sz w:val="20"/>
          <w:szCs w:val="20"/>
        </w:rPr>
      </w:pPr>
      <w:r w:rsidRPr="00F42D10">
        <w:rPr>
          <w:rFonts w:ascii="Times New Roman" w:hAnsi="Times New Roman" w:cs="Times New Roman"/>
          <w:color w:val="000000" w:themeColor="text1"/>
          <w:sz w:val="20"/>
          <w:szCs w:val="20"/>
        </w:rPr>
        <w:lastRenderedPageBreak/>
        <w:t>Performance metric</w:t>
      </w:r>
    </w:p>
    <w:p w14:paraId="25113188" w14:textId="77777777" w:rsidR="00F06766" w:rsidRPr="00F42D10" w:rsidRDefault="00F06766" w:rsidP="00F06766">
      <w:pPr>
        <w:pStyle w:val="ListParagraph"/>
        <w:numPr>
          <w:ilvl w:val="0"/>
          <w:numId w:val="39"/>
        </w:numPr>
        <w:snapToGrid w:val="0"/>
        <w:spacing w:after="120" w:line="288" w:lineRule="auto"/>
        <w:contextualSpacing/>
        <w:jc w:val="both"/>
        <w:rPr>
          <w:rFonts w:ascii="Times New Roman" w:hAnsi="Times New Roman" w:cs="Times New Roman"/>
          <w:color w:val="000000" w:themeColor="text1"/>
          <w:sz w:val="20"/>
          <w:szCs w:val="20"/>
        </w:rPr>
      </w:pPr>
      <w:r w:rsidRPr="00F42D10">
        <w:rPr>
          <w:rFonts w:ascii="Times New Roman" w:hAnsi="Times New Roman" w:cs="Times New Roman"/>
          <w:color w:val="000000" w:themeColor="text1"/>
          <w:sz w:val="20"/>
          <w:szCs w:val="20"/>
        </w:rPr>
        <w:t>Comparison with Rel.15/16 L3-based inter-cell mobility</w:t>
      </w:r>
    </w:p>
    <w:p w14:paraId="62A9A221" w14:textId="77777777" w:rsidR="003A7EF3" w:rsidRPr="00F06766" w:rsidRDefault="003A7EF3" w:rsidP="00CE0424">
      <w:pPr>
        <w:pStyle w:val="BodyText"/>
        <w:rPr>
          <w:lang w:val="x-none"/>
        </w:rPr>
      </w:pPr>
    </w:p>
    <w:sectPr w:rsidR="003A7EF3" w:rsidRPr="00F06766"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0BD36" w14:textId="77777777" w:rsidR="005B05A1" w:rsidRDefault="005B05A1">
      <w:r>
        <w:separator/>
      </w:r>
    </w:p>
  </w:endnote>
  <w:endnote w:type="continuationSeparator" w:id="0">
    <w:p w14:paraId="715F860E" w14:textId="77777777" w:rsidR="005B05A1" w:rsidRDefault="005B05A1">
      <w:r>
        <w:continuationSeparator/>
      </w:r>
    </w:p>
  </w:endnote>
  <w:endnote w:type="continuationNotice" w:id="1">
    <w:p w14:paraId="313B136D" w14:textId="77777777" w:rsidR="005B05A1" w:rsidRDefault="005B0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DBDDE" w14:textId="77777777" w:rsidR="005B05A1" w:rsidRDefault="005B05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463DA" w14:textId="77777777" w:rsidR="005B05A1" w:rsidRDefault="005B05A1">
      <w:r>
        <w:separator/>
      </w:r>
    </w:p>
  </w:footnote>
  <w:footnote w:type="continuationSeparator" w:id="0">
    <w:p w14:paraId="75655B43" w14:textId="77777777" w:rsidR="005B05A1" w:rsidRDefault="005B05A1">
      <w:r>
        <w:continuationSeparator/>
      </w:r>
    </w:p>
  </w:footnote>
  <w:footnote w:type="continuationNotice" w:id="1">
    <w:p w14:paraId="43BFBB3E" w14:textId="77777777" w:rsidR="005B05A1" w:rsidRDefault="005B0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824A5" w14:textId="77777777" w:rsidR="005B05A1" w:rsidRDefault="005B05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B696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6E1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7B05CF"/>
    <w:multiLevelType w:val="hybridMultilevel"/>
    <w:tmpl w:val="27AEB38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1" w15:restartNumberingAfterBreak="0">
    <w:nsid w:val="24E93A37"/>
    <w:multiLevelType w:val="hybridMultilevel"/>
    <w:tmpl w:val="2F74E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A421D0"/>
    <w:multiLevelType w:val="hybridMultilevel"/>
    <w:tmpl w:val="E27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8316A2B"/>
    <w:multiLevelType w:val="hybridMultilevel"/>
    <w:tmpl w:val="973420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714F42"/>
    <w:multiLevelType w:val="hybridMultilevel"/>
    <w:tmpl w:val="BDDAEEC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40" w15:restartNumberingAfterBreak="0">
    <w:nsid w:val="71995A96"/>
    <w:multiLevelType w:val="hybridMultilevel"/>
    <w:tmpl w:val="D1B23A66"/>
    <w:lvl w:ilvl="0" w:tplc="D5F479D2">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76907"/>
    <w:multiLevelType w:val="hybridMultilevel"/>
    <w:tmpl w:val="568EF4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30"/>
  </w:num>
  <w:num w:numId="3">
    <w:abstractNumId w:val="24"/>
  </w:num>
  <w:num w:numId="4">
    <w:abstractNumId w:val="25"/>
  </w:num>
  <w:num w:numId="5">
    <w:abstractNumId w:val="19"/>
  </w:num>
  <w:num w:numId="6">
    <w:abstractNumId w:val="29"/>
  </w:num>
  <w:num w:numId="7">
    <w:abstractNumId w:val="33"/>
  </w:num>
  <w:num w:numId="8">
    <w:abstractNumId w:val="20"/>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6"/>
  </w:num>
  <w:num w:numId="16">
    <w:abstractNumId w:val="36"/>
  </w:num>
  <w:num w:numId="17">
    <w:abstractNumId w:val="9"/>
  </w:num>
  <w:num w:numId="18">
    <w:abstractNumId w:val="13"/>
  </w:num>
  <w:num w:numId="19">
    <w:abstractNumId w:val="5"/>
  </w:num>
  <w:num w:numId="20">
    <w:abstractNumId w:val="42"/>
  </w:num>
  <w:num w:numId="21">
    <w:abstractNumId w:val="22"/>
  </w:num>
  <w:num w:numId="22">
    <w:abstractNumId w:val="38"/>
  </w:num>
  <w:num w:numId="23">
    <w:abstractNumId w:val="27"/>
  </w:num>
  <w:num w:numId="24">
    <w:abstractNumId w:val="11"/>
  </w:num>
  <w:num w:numId="25">
    <w:abstractNumId w:val="40"/>
  </w:num>
  <w:num w:numId="26">
    <w:abstractNumId w:val="35"/>
  </w:num>
  <w:num w:numId="27">
    <w:abstractNumId w:val="7"/>
  </w:num>
  <w:num w:numId="28">
    <w:abstractNumId w:val="15"/>
  </w:num>
  <w:num w:numId="29">
    <w:abstractNumId w:val="10"/>
  </w:num>
  <w:num w:numId="30">
    <w:abstractNumId w:val="39"/>
  </w:num>
  <w:num w:numId="31">
    <w:abstractNumId w:val="6"/>
  </w:num>
  <w:num w:numId="32">
    <w:abstractNumId w:val="37"/>
  </w:num>
  <w:num w:numId="33">
    <w:abstractNumId w:val="23"/>
  </w:num>
  <w:num w:numId="34">
    <w:abstractNumId w:val="12"/>
  </w:num>
  <w:num w:numId="35">
    <w:abstractNumId w:val="41"/>
  </w:num>
  <w:num w:numId="36">
    <w:abstractNumId w:val="4"/>
  </w:num>
  <w:num w:numId="37">
    <w:abstractNumId w:val="28"/>
  </w:num>
  <w:num w:numId="38">
    <w:abstractNumId w:val="34"/>
  </w:num>
  <w:num w:numId="39">
    <w:abstractNumId w:val="18"/>
  </w:num>
  <w:num w:numId="40">
    <w:abstractNumId w:val="8"/>
  </w:num>
  <w:num w:numId="41">
    <w:abstractNumId w:val="17"/>
  </w:num>
  <w:num w:numId="42">
    <w:abstractNumId w:val="21"/>
  </w:num>
  <w:num w:numId="4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2A37"/>
    <w:rsid w:val="0000564C"/>
    <w:rsid w:val="00006446"/>
    <w:rsid w:val="00006896"/>
    <w:rsid w:val="00007CDC"/>
    <w:rsid w:val="00010F11"/>
    <w:rsid w:val="00011B28"/>
    <w:rsid w:val="00012CA8"/>
    <w:rsid w:val="00015D15"/>
    <w:rsid w:val="000200FA"/>
    <w:rsid w:val="00024151"/>
    <w:rsid w:val="0002564D"/>
    <w:rsid w:val="00025ECA"/>
    <w:rsid w:val="000325B8"/>
    <w:rsid w:val="00034C15"/>
    <w:rsid w:val="0003676A"/>
    <w:rsid w:val="00036BA1"/>
    <w:rsid w:val="000375CC"/>
    <w:rsid w:val="0003797C"/>
    <w:rsid w:val="000422E2"/>
    <w:rsid w:val="00042F22"/>
    <w:rsid w:val="000432E5"/>
    <w:rsid w:val="000444EF"/>
    <w:rsid w:val="0004741A"/>
    <w:rsid w:val="00047730"/>
    <w:rsid w:val="0005037F"/>
    <w:rsid w:val="00052A07"/>
    <w:rsid w:val="000534E3"/>
    <w:rsid w:val="0005606A"/>
    <w:rsid w:val="00056411"/>
    <w:rsid w:val="00057117"/>
    <w:rsid w:val="00057148"/>
    <w:rsid w:val="000616E7"/>
    <w:rsid w:val="0006487E"/>
    <w:rsid w:val="00065E1A"/>
    <w:rsid w:val="00077E5F"/>
    <w:rsid w:val="0008036A"/>
    <w:rsid w:val="00081AE6"/>
    <w:rsid w:val="00084FF6"/>
    <w:rsid w:val="000855EB"/>
    <w:rsid w:val="00085B52"/>
    <w:rsid w:val="000866F2"/>
    <w:rsid w:val="0009006D"/>
    <w:rsid w:val="0009009F"/>
    <w:rsid w:val="00091557"/>
    <w:rsid w:val="000923A2"/>
    <w:rsid w:val="000924C1"/>
    <w:rsid w:val="000924F0"/>
    <w:rsid w:val="00093474"/>
    <w:rsid w:val="0009510F"/>
    <w:rsid w:val="000A1B7B"/>
    <w:rsid w:val="000A20C1"/>
    <w:rsid w:val="000A2C12"/>
    <w:rsid w:val="000A56F2"/>
    <w:rsid w:val="000B2719"/>
    <w:rsid w:val="000B3A8F"/>
    <w:rsid w:val="000B4AB9"/>
    <w:rsid w:val="000B58C3"/>
    <w:rsid w:val="000B61E9"/>
    <w:rsid w:val="000C165A"/>
    <w:rsid w:val="000C2E19"/>
    <w:rsid w:val="000D0D07"/>
    <w:rsid w:val="000D2762"/>
    <w:rsid w:val="000D324E"/>
    <w:rsid w:val="000D4797"/>
    <w:rsid w:val="000D5B39"/>
    <w:rsid w:val="000E0527"/>
    <w:rsid w:val="000E1E92"/>
    <w:rsid w:val="000E4B54"/>
    <w:rsid w:val="000F06D6"/>
    <w:rsid w:val="000F0EB1"/>
    <w:rsid w:val="000F1106"/>
    <w:rsid w:val="000F3BE9"/>
    <w:rsid w:val="000F3F6C"/>
    <w:rsid w:val="000F46F8"/>
    <w:rsid w:val="000F6DF3"/>
    <w:rsid w:val="001005FF"/>
    <w:rsid w:val="00101897"/>
    <w:rsid w:val="001062FB"/>
    <w:rsid w:val="001063E6"/>
    <w:rsid w:val="001105CA"/>
    <w:rsid w:val="00110E64"/>
    <w:rsid w:val="00113CF4"/>
    <w:rsid w:val="001153EA"/>
    <w:rsid w:val="00115643"/>
    <w:rsid w:val="00116765"/>
    <w:rsid w:val="001219F5"/>
    <w:rsid w:val="00121A20"/>
    <w:rsid w:val="0012377F"/>
    <w:rsid w:val="00123D44"/>
    <w:rsid w:val="00124314"/>
    <w:rsid w:val="00126B4A"/>
    <w:rsid w:val="00132FD0"/>
    <w:rsid w:val="001344C0"/>
    <w:rsid w:val="001346FA"/>
    <w:rsid w:val="00135252"/>
    <w:rsid w:val="00137AB5"/>
    <w:rsid w:val="00137F0B"/>
    <w:rsid w:val="00147996"/>
    <w:rsid w:val="00151291"/>
    <w:rsid w:val="00151E23"/>
    <w:rsid w:val="001526E0"/>
    <w:rsid w:val="001551B5"/>
    <w:rsid w:val="00163BB0"/>
    <w:rsid w:val="00165834"/>
    <w:rsid w:val="001659C1"/>
    <w:rsid w:val="00173A8E"/>
    <w:rsid w:val="0017502C"/>
    <w:rsid w:val="0018143F"/>
    <w:rsid w:val="00181FF8"/>
    <w:rsid w:val="00183F19"/>
    <w:rsid w:val="00190AC1"/>
    <w:rsid w:val="0019341A"/>
    <w:rsid w:val="00194EA8"/>
    <w:rsid w:val="00195AAB"/>
    <w:rsid w:val="00196FDF"/>
    <w:rsid w:val="00197DF9"/>
    <w:rsid w:val="001A104E"/>
    <w:rsid w:val="001A1987"/>
    <w:rsid w:val="001A2564"/>
    <w:rsid w:val="001A6173"/>
    <w:rsid w:val="001A6CBA"/>
    <w:rsid w:val="001B072D"/>
    <w:rsid w:val="001B0D97"/>
    <w:rsid w:val="001B2FD3"/>
    <w:rsid w:val="001B5A5D"/>
    <w:rsid w:val="001C1CE5"/>
    <w:rsid w:val="001C3D2A"/>
    <w:rsid w:val="001C653C"/>
    <w:rsid w:val="001D51BA"/>
    <w:rsid w:val="001D53E7"/>
    <w:rsid w:val="001D6342"/>
    <w:rsid w:val="001D6D4F"/>
    <w:rsid w:val="001D6D53"/>
    <w:rsid w:val="001E0AC9"/>
    <w:rsid w:val="001E58E2"/>
    <w:rsid w:val="001E7AED"/>
    <w:rsid w:val="001F3916"/>
    <w:rsid w:val="001F3BA7"/>
    <w:rsid w:val="001F54C5"/>
    <w:rsid w:val="001F662C"/>
    <w:rsid w:val="001F7074"/>
    <w:rsid w:val="00200467"/>
    <w:rsid w:val="00200490"/>
    <w:rsid w:val="00201F3A"/>
    <w:rsid w:val="00203F96"/>
    <w:rsid w:val="002059FB"/>
    <w:rsid w:val="002069B2"/>
    <w:rsid w:val="00207FA3"/>
    <w:rsid w:val="00214DA8"/>
    <w:rsid w:val="00215423"/>
    <w:rsid w:val="002158FA"/>
    <w:rsid w:val="00220600"/>
    <w:rsid w:val="002224DB"/>
    <w:rsid w:val="00223FCB"/>
    <w:rsid w:val="002243C6"/>
    <w:rsid w:val="002252C3"/>
    <w:rsid w:val="00225C54"/>
    <w:rsid w:val="00230219"/>
    <w:rsid w:val="00230765"/>
    <w:rsid w:val="00230D18"/>
    <w:rsid w:val="002319E4"/>
    <w:rsid w:val="00235632"/>
    <w:rsid w:val="00235872"/>
    <w:rsid w:val="00240E36"/>
    <w:rsid w:val="00241559"/>
    <w:rsid w:val="002435B3"/>
    <w:rsid w:val="002458EB"/>
    <w:rsid w:val="002460D6"/>
    <w:rsid w:val="00247FB8"/>
    <w:rsid w:val="002500C8"/>
    <w:rsid w:val="00252F49"/>
    <w:rsid w:val="00257543"/>
    <w:rsid w:val="002613D6"/>
    <w:rsid w:val="002617E7"/>
    <w:rsid w:val="00264228"/>
    <w:rsid w:val="00264334"/>
    <w:rsid w:val="0026473E"/>
    <w:rsid w:val="00266214"/>
    <w:rsid w:val="00267C83"/>
    <w:rsid w:val="0027007D"/>
    <w:rsid w:val="0027144F"/>
    <w:rsid w:val="00271813"/>
    <w:rsid w:val="00271F3A"/>
    <w:rsid w:val="00273278"/>
    <w:rsid w:val="002737F4"/>
    <w:rsid w:val="0027588E"/>
    <w:rsid w:val="00277E41"/>
    <w:rsid w:val="002805F5"/>
    <w:rsid w:val="00280751"/>
    <w:rsid w:val="0028280A"/>
    <w:rsid w:val="002837FE"/>
    <w:rsid w:val="00283BC8"/>
    <w:rsid w:val="00286ACD"/>
    <w:rsid w:val="00287838"/>
    <w:rsid w:val="002907B5"/>
    <w:rsid w:val="0029101F"/>
    <w:rsid w:val="00292EB7"/>
    <w:rsid w:val="00296227"/>
    <w:rsid w:val="00296F44"/>
    <w:rsid w:val="0029777D"/>
    <w:rsid w:val="002A055E"/>
    <w:rsid w:val="002A1D4E"/>
    <w:rsid w:val="002A2869"/>
    <w:rsid w:val="002B01B8"/>
    <w:rsid w:val="002B24D6"/>
    <w:rsid w:val="002C264D"/>
    <w:rsid w:val="002C41E6"/>
    <w:rsid w:val="002D071A"/>
    <w:rsid w:val="002D34B2"/>
    <w:rsid w:val="002D48B0"/>
    <w:rsid w:val="002D5B37"/>
    <w:rsid w:val="002D7637"/>
    <w:rsid w:val="002E17F2"/>
    <w:rsid w:val="002E4A49"/>
    <w:rsid w:val="002E7CAE"/>
    <w:rsid w:val="002F13E4"/>
    <w:rsid w:val="002F17A3"/>
    <w:rsid w:val="002F1C45"/>
    <w:rsid w:val="002F25A0"/>
    <w:rsid w:val="002F2771"/>
    <w:rsid w:val="002F37A9"/>
    <w:rsid w:val="002F4993"/>
    <w:rsid w:val="00301CE6"/>
    <w:rsid w:val="00302085"/>
    <w:rsid w:val="0030256B"/>
    <w:rsid w:val="0030501F"/>
    <w:rsid w:val="00307BA1"/>
    <w:rsid w:val="00311702"/>
    <w:rsid w:val="00311E82"/>
    <w:rsid w:val="00313FD6"/>
    <w:rsid w:val="003143BD"/>
    <w:rsid w:val="00315363"/>
    <w:rsid w:val="003161A0"/>
    <w:rsid w:val="003203ED"/>
    <w:rsid w:val="00322C9F"/>
    <w:rsid w:val="00324D23"/>
    <w:rsid w:val="00331751"/>
    <w:rsid w:val="003337F0"/>
    <w:rsid w:val="00334579"/>
    <w:rsid w:val="00335858"/>
    <w:rsid w:val="00336BDA"/>
    <w:rsid w:val="00337706"/>
    <w:rsid w:val="00342BD7"/>
    <w:rsid w:val="00344D76"/>
    <w:rsid w:val="0034571F"/>
    <w:rsid w:val="00346DB5"/>
    <w:rsid w:val="003477B1"/>
    <w:rsid w:val="0035158B"/>
    <w:rsid w:val="00357380"/>
    <w:rsid w:val="003602D9"/>
    <w:rsid w:val="003604CE"/>
    <w:rsid w:val="00365A2B"/>
    <w:rsid w:val="00370E47"/>
    <w:rsid w:val="003742AC"/>
    <w:rsid w:val="00375114"/>
    <w:rsid w:val="00376416"/>
    <w:rsid w:val="00377CE1"/>
    <w:rsid w:val="0038181A"/>
    <w:rsid w:val="00385BF0"/>
    <w:rsid w:val="003862DC"/>
    <w:rsid w:val="0039337F"/>
    <w:rsid w:val="0039391B"/>
    <w:rsid w:val="003939FF"/>
    <w:rsid w:val="003A2223"/>
    <w:rsid w:val="003A2A0F"/>
    <w:rsid w:val="003A45A1"/>
    <w:rsid w:val="003A5B0A"/>
    <w:rsid w:val="003A6BAC"/>
    <w:rsid w:val="003A70A4"/>
    <w:rsid w:val="003A7EF3"/>
    <w:rsid w:val="003B159C"/>
    <w:rsid w:val="003B369F"/>
    <w:rsid w:val="003B36A3"/>
    <w:rsid w:val="003B64BB"/>
    <w:rsid w:val="003B65D6"/>
    <w:rsid w:val="003B7FE5"/>
    <w:rsid w:val="003C11C8"/>
    <w:rsid w:val="003C18C0"/>
    <w:rsid w:val="003C2702"/>
    <w:rsid w:val="003C7806"/>
    <w:rsid w:val="003D109F"/>
    <w:rsid w:val="003D1A53"/>
    <w:rsid w:val="003D2478"/>
    <w:rsid w:val="003D3829"/>
    <w:rsid w:val="003D3C45"/>
    <w:rsid w:val="003D5B1F"/>
    <w:rsid w:val="003E15FA"/>
    <w:rsid w:val="003E55E4"/>
    <w:rsid w:val="003E74E3"/>
    <w:rsid w:val="003F05C7"/>
    <w:rsid w:val="003F0E80"/>
    <w:rsid w:val="003F26F1"/>
    <w:rsid w:val="003F2CD4"/>
    <w:rsid w:val="003F35D4"/>
    <w:rsid w:val="003F5A84"/>
    <w:rsid w:val="003F60F4"/>
    <w:rsid w:val="003F6BBE"/>
    <w:rsid w:val="003F6D60"/>
    <w:rsid w:val="004000E8"/>
    <w:rsid w:val="00402E2B"/>
    <w:rsid w:val="0040512B"/>
    <w:rsid w:val="00405CA5"/>
    <w:rsid w:val="00407CD3"/>
    <w:rsid w:val="00407CF7"/>
    <w:rsid w:val="00410134"/>
    <w:rsid w:val="00410B72"/>
    <w:rsid w:val="00410F18"/>
    <w:rsid w:val="0041263E"/>
    <w:rsid w:val="00413456"/>
    <w:rsid w:val="00413AAC"/>
    <w:rsid w:val="00413E92"/>
    <w:rsid w:val="0041685C"/>
    <w:rsid w:val="00421105"/>
    <w:rsid w:val="00422AA4"/>
    <w:rsid w:val="004242F4"/>
    <w:rsid w:val="00427248"/>
    <w:rsid w:val="00431FD8"/>
    <w:rsid w:val="00435E90"/>
    <w:rsid w:val="00437447"/>
    <w:rsid w:val="00441A92"/>
    <w:rsid w:val="004431DC"/>
    <w:rsid w:val="00444A27"/>
    <w:rsid w:val="00444F56"/>
    <w:rsid w:val="00446488"/>
    <w:rsid w:val="004517AA"/>
    <w:rsid w:val="00452CAC"/>
    <w:rsid w:val="00456BC9"/>
    <w:rsid w:val="00457565"/>
    <w:rsid w:val="0045770C"/>
    <w:rsid w:val="00457B71"/>
    <w:rsid w:val="00464689"/>
    <w:rsid w:val="004669E2"/>
    <w:rsid w:val="00470C31"/>
    <w:rsid w:val="00471DE0"/>
    <w:rsid w:val="004734D0"/>
    <w:rsid w:val="0047556B"/>
    <w:rsid w:val="00477768"/>
    <w:rsid w:val="004816D4"/>
    <w:rsid w:val="004838D9"/>
    <w:rsid w:val="00485FA5"/>
    <w:rsid w:val="0048697A"/>
    <w:rsid w:val="00492403"/>
    <w:rsid w:val="00492BC5"/>
    <w:rsid w:val="004946EB"/>
    <w:rsid w:val="004964F1"/>
    <w:rsid w:val="004A16BC"/>
    <w:rsid w:val="004A2B94"/>
    <w:rsid w:val="004A64D3"/>
    <w:rsid w:val="004B5CD7"/>
    <w:rsid w:val="004B6F6A"/>
    <w:rsid w:val="004B7C0C"/>
    <w:rsid w:val="004C3898"/>
    <w:rsid w:val="004D36B1"/>
    <w:rsid w:val="004D6F81"/>
    <w:rsid w:val="004D7D9F"/>
    <w:rsid w:val="004D7EBD"/>
    <w:rsid w:val="004E085D"/>
    <w:rsid w:val="004E2680"/>
    <w:rsid w:val="004E2822"/>
    <w:rsid w:val="004E28F9"/>
    <w:rsid w:val="004E462E"/>
    <w:rsid w:val="004E56DC"/>
    <w:rsid w:val="004E76F4"/>
    <w:rsid w:val="004F0B4E"/>
    <w:rsid w:val="004F0B6C"/>
    <w:rsid w:val="004F1B47"/>
    <w:rsid w:val="004F2078"/>
    <w:rsid w:val="004F4DA3"/>
    <w:rsid w:val="00503941"/>
    <w:rsid w:val="00503CA6"/>
    <w:rsid w:val="00503FF9"/>
    <w:rsid w:val="0050648B"/>
    <w:rsid w:val="00506557"/>
    <w:rsid w:val="0050677A"/>
    <w:rsid w:val="005108D8"/>
    <w:rsid w:val="005116F9"/>
    <w:rsid w:val="005153A7"/>
    <w:rsid w:val="005210FB"/>
    <w:rsid w:val="005219CF"/>
    <w:rsid w:val="0052707B"/>
    <w:rsid w:val="00534B59"/>
    <w:rsid w:val="00536759"/>
    <w:rsid w:val="00537C62"/>
    <w:rsid w:val="00546970"/>
    <w:rsid w:val="00552E18"/>
    <w:rsid w:val="0055304D"/>
    <w:rsid w:val="00553A0C"/>
    <w:rsid w:val="00554E19"/>
    <w:rsid w:val="00560912"/>
    <w:rsid w:val="0056121F"/>
    <w:rsid w:val="005620A4"/>
    <w:rsid w:val="00572505"/>
    <w:rsid w:val="0058111A"/>
    <w:rsid w:val="00582809"/>
    <w:rsid w:val="00583822"/>
    <w:rsid w:val="0058798C"/>
    <w:rsid w:val="005900FA"/>
    <w:rsid w:val="005935A4"/>
    <w:rsid w:val="005948C2"/>
    <w:rsid w:val="00595DCA"/>
    <w:rsid w:val="0059779B"/>
    <w:rsid w:val="005A01E0"/>
    <w:rsid w:val="005A10ED"/>
    <w:rsid w:val="005A209A"/>
    <w:rsid w:val="005A662D"/>
    <w:rsid w:val="005B05A1"/>
    <w:rsid w:val="005B1409"/>
    <w:rsid w:val="005B35D7"/>
    <w:rsid w:val="005B392A"/>
    <w:rsid w:val="005B3AA3"/>
    <w:rsid w:val="005B4C8E"/>
    <w:rsid w:val="005B6F83"/>
    <w:rsid w:val="005C33B5"/>
    <w:rsid w:val="005C74FB"/>
    <w:rsid w:val="005D1602"/>
    <w:rsid w:val="005E061D"/>
    <w:rsid w:val="005E385F"/>
    <w:rsid w:val="005E52CD"/>
    <w:rsid w:val="005E5B81"/>
    <w:rsid w:val="005E7C27"/>
    <w:rsid w:val="005F2CB1"/>
    <w:rsid w:val="005F3025"/>
    <w:rsid w:val="005F618C"/>
    <w:rsid w:val="005F70BD"/>
    <w:rsid w:val="0060283C"/>
    <w:rsid w:val="00602F3A"/>
    <w:rsid w:val="00604F14"/>
    <w:rsid w:val="006073F1"/>
    <w:rsid w:val="00611B83"/>
    <w:rsid w:val="00613257"/>
    <w:rsid w:val="006156A8"/>
    <w:rsid w:val="00620A71"/>
    <w:rsid w:val="00620D80"/>
    <w:rsid w:val="006234A6"/>
    <w:rsid w:val="00630001"/>
    <w:rsid w:val="006311B3"/>
    <w:rsid w:val="0063284C"/>
    <w:rsid w:val="00636398"/>
    <w:rsid w:val="006368D3"/>
    <w:rsid w:val="006377EC"/>
    <w:rsid w:val="00640F9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E11"/>
    <w:rsid w:val="00667EE7"/>
    <w:rsid w:val="00670922"/>
    <w:rsid w:val="00670BE1"/>
    <w:rsid w:val="0067218F"/>
    <w:rsid w:val="006741F2"/>
    <w:rsid w:val="00674CC3"/>
    <w:rsid w:val="00675C72"/>
    <w:rsid w:val="006771F9"/>
    <w:rsid w:val="006776D7"/>
    <w:rsid w:val="00681003"/>
    <w:rsid w:val="006817C9"/>
    <w:rsid w:val="006825B2"/>
    <w:rsid w:val="00683ECE"/>
    <w:rsid w:val="00695FC2"/>
    <w:rsid w:val="00696949"/>
    <w:rsid w:val="00697052"/>
    <w:rsid w:val="006A46FB"/>
    <w:rsid w:val="006A5E28"/>
    <w:rsid w:val="006A697B"/>
    <w:rsid w:val="006A720E"/>
    <w:rsid w:val="006A7AFF"/>
    <w:rsid w:val="006B1816"/>
    <w:rsid w:val="006B2099"/>
    <w:rsid w:val="006B2673"/>
    <w:rsid w:val="006B50CF"/>
    <w:rsid w:val="006C03B8"/>
    <w:rsid w:val="006C3035"/>
    <w:rsid w:val="006C5EC9"/>
    <w:rsid w:val="006C6059"/>
    <w:rsid w:val="006C7522"/>
    <w:rsid w:val="006D6F08"/>
    <w:rsid w:val="006E062C"/>
    <w:rsid w:val="006E1C82"/>
    <w:rsid w:val="006E28B7"/>
    <w:rsid w:val="006E2A9B"/>
    <w:rsid w:val="006E3310"/>
    <w:rsid w:val="006E4481"/>
    <w:rsid w:val="006E4E39"/>
    <w:rsid w:val="006E565E"/>
    <w:rsid w:val="006E673D"/>
    <w:rsid w:val="006E7D3B"/>
    <w:rsid w:val="006F1B70"/>
    <w:rsid w:val="006F341D"/>
    <w:rsid w:val="006F3CDE"/>
    <w:rsid w:val="006F5588"/>
    <w:rsid w:val="006F58D4"/>
    <w:rsid w:val="006F6582"/>
    <w:rsid w:val="0070346E"/>
    <w:rsid w:val="007037FF"/>
    <w:rsid w:val="00704EDB"/>
    <w:rsid w:val="00706101"/>
    <w:rsid w:val="00707072"/>
    <w:rsid w:val="00707D61"/>
    <w:rsid w:val="00712287"/>
    <w:rsid w:val="00712772"/>
    <w:rsid w:val="007148D3"/>
    <w:rsid w:val="00715B9A"/>
    <w:rsid w:val="007208B7"/>
    <w:rsid w:val="00723DB6"/>
    <w:rsid w:val="007257D0"/>
    <w:rsid w:val="00726EA6"/>
    <w:rsid w:val="00727208"/>
    <w:rsid w:val="00727680"/>
    <w:rsid w:val="007341E5"/>
    <w:rsid w:val="007348B1"/>
    <w:rsid w:val="007362A6"/>
    <w:rsid w:val="00736D7D"/>
    <w:rsid w:val="00740E58"/>
    <w:rsid w:val="007445A0"/>
    <w:rsid w:val="007448D5"/>
    <w:rsid w:val="0074524B"/>
    <w:rsid w:val="0074727A"/>
    <w:rsid w:val="00747D8B"/>
    <w:rsid w:val="00751228"/>
    <w:rsid w:val="0075691D"/>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074"/>
    <w:rsid w:val="007C75A1"/>
    <w:rsid w:val="007C77A5"/>
    <w:rsid w:val="007D04E5"/>
    <w:rsid w:val="007D5901"/>
    <w:rsid w:val="007D7526"/>
    <w:rsid w:val="007E0877"/>
    <w:rsid w:val="007E4610"/>
    <w:rsid w:val="007E4715"/>
    <w:rsid w:val="007E505B"/>
    <w:rsid w:val="007E7091"/>
    <w:rsid w:val="007F21EA"/>
    <w:rsid w:val="007F3639"/>
    <w:rsid w:val="00802DFD"/>
    <w:rsid w:val="00803FAE"/>
    <w:rsid w:val="0080605F"/>
    <w:rsid w:val="00807786"/>
    <w:rsid w:val="00811495"/>
    <w:rsid w:val="00811666"/>
    <w:rsid w:val="00811FCB"/>
    <w:rsid w:val="008158D6"/>
    <w:rsid w:val="00817196"/>
    <w:rsid w:val="008235DB"/>
    <w:rsid w:val="00824AB4"/>
    <w:rsid w:val="00825C42"/>
    <w:rsid w:val="00825D25"/>
    <w:rsid w:val="00827D6F"/>
    <w:rsid w:val="00836A53"/>
    <w:rsid w:val="008376AC"/>
    <w:rsid w:val="00840E21"/>
    <w:rsid w:val="00842665"/>
    <w:rsid w:val="008444E8"/>
    <w:rsid w:val="00844E80"/>
    <w:rsid w:val="00846FE7"/>
    <w:rsid w:val="00856911"/>
    <w:rsid w:val="008677FD"/>
    <w:rsid w:val="008706D4"/>
    <w:rsid w:val="00870F8A"/>
    <w:rsid w:val="008719A4"/>
    <w:rsid w:val="00871D23"/>
    <w:rsid w:val="00873DB2"/>
    <w:rsid w:val="00874312"/>
    <w:rsid w:val="0087437C"/>
    <w:rsid w:val="00875CD7"/>
    <w:rsid w:val="00876B4D"/>
    <w:rsid w:val="008771CD"/>
    <w:rsid w:val="00877F18"/>
    <w:rsid w:val="00892963"/>
    <w:rsid w:val="008941E3"/>
    <w:rsid w:val="00894A88"/>
    <w:rsid w:val="00895386"/>
    <w:rsid w:val="008A01E0"/>
    <w:rsid w:val="008A11AA"/>
    <w:rsid w:val="008A21FF"/>
    <w:rsid w:val="008A2CE2"/>
    <w:rsid w:val="008A30AC"/>
    <w:rsid w:val="008A44B8"/>
    <w:rsid w:val="008A51A8"/>
    <w:rsid w:val="008A54C7"/>
    <w:rsid w:val="008A74FA"/>
    <w:rsid w:val="008A77D8"/>
    <w:rsid w:val="008B0483"/>
    <w:rsid w:val="008B120C"/>
    <w:rsid w:val="008B2163"/>
    <w:rsid w:val="008B4D67"/>
    <w:rsid w:val="008B51A0"/>
    <w:rsid w:val="008B592A"/>
    <w:rsid w:val="008B7B5C"/>
    <w:rsid w:val="008C0C99"/>
    <w:rsid w:val="008C2017"/>
    <w:rsid w:val="008C38B2"/>
    <w:rsid w:val="008C4958"/>
    <w:rsid w:val="008C4BAA"/>
    <w:rsid w:val="008C676F"/>
    <w:rsid w:val="008C6AE8"/>
    <w:rsid w:val="008C7573"/>
    <w:rsid w:val="008D00A5"/>
    <w:rsid w:val="008D34F1"/>
    <w:rsid w:val="008D39D8"/>
    <w:rsid w:val="008D48A2"/>
    <w:rsid w:val="008D6D1A"/>
    <w:rsid w:val="008E065E"/>
    <w:rsid w:val="008E0927"/>
    <w:rsid w:val="008E1909"/>
    <w:rsid w:val="008E4F91"/>
    <w:rsid w:val="008F1C4E"/>
    <w:rsid w:val="008F1EAB"/>
    <w:rsid w:val="008F226E"/>
    <w:rsid w:val="008F33DC"/>
    <w:rsid w:val="008F477F"/>
    <w:rsid w:val="008F7D4A"/>
    <w:rsid w:val="009022FD"/>
    <w:rsid w:val="00902350"/>
    <w:rsid w:val="0090336B"/>
    <w:rsid w:val="009053AA"/>
    <w:rsid w:val="009068E6"/>
    <w:rsid w:val="00906939"/>
    <w:rsid w:val="00910B7D"/>
    <w:rsid w:val="00911DFB"/>
    <w:rsid w:val="009139D9"/>
    <w:rsid w:val="00914AD8"/>
    <w:rsid w:val="00916079"/>
    <w:rsid w:val="00917CE9"/>
    <w:rsid w:val="00920BF2"/>
    <w:rsid w:val="00922010"/>
    <w:rsid w:val="0092689B"/>
    <w:rsid w:val="00931BD9"/>
    <w:rsid w:val="009368F3"/>
    <w:rsid w:val="00941636"/>
    <w:rsid w:val="0094342D"/>
    <w:rsid w:val="00943742"/>
    <w:rsid w:val="00943F8E"/>
    <w:rsid w:val="0094495D"/>
    <w:rsid w:val="00945C05"/>
    <w:rsid w:val="00946945"/>
    <w:rsid w:val="00947713"/>
    <w:rsid w:val="00947A32"/>
    <w:rsid w:val="00950DE7"/>
    <w:rsid w:val="00953920"/>
    <w:rsid w:val="00953D47"/>
    <w:rsid w:val="0095681E"/>
    <w:rsid w:val="009572D4"/>
    <w:rsid w:val="00961921"/>
    <w:rsid w:val="0096430A"/>
    <w:rsid w:val="0096554B"/>
    <w:rsid w:val="0096584A"/>
    <w:rsid w:val="0096591C"/>
    <w:rsid w:val="00971F08"/>
    <w:rsid w:val="0097603D"/>
    <w:rsid w:val="00976949"/>
    <w:rsid w:val="00980477"/>
    <w:rsid w:val="009811E6"/>
    <w:rsid w:val="00985096"/>
    <w:rsid w:val="00985253"/>
    <w:rsid w:val="009853B3"/>
    <w:rsid w:val="00990630"/>
    <w:rsid w:val="00991761"/>
    <w:rsid w:val="00992CC2"/>
    <w:rsid w:val="00994DCA"/>
    <w:rsid w:val="009960EC"/>
    <w:rsid w:val="009970DD"/>
    <w:rsid w:val="009A0FBA"/>
    <w:rsid w:val="009A1601"/>
    <w:rsid w:val="009A3BB6"/>
    <w:rsid w:val="009A462D"/>
    <w:rsid w:val="009A5CBA"/>
    <w:rsid w:val="009B1F30"/>
    <w:rsid w:val="009B26C4"/>
    <w:rsid w:val="009B3AC2"/>
    <w:rsid w:val="009B3D2F"/>
    <w:rsid w:val="009B3E1C"/>
    <w:rsid w:val="009B4DF4"/>
    <w:rsid w:val="009B564E"/>
    <w:rsid w:val="009B7E87"/>
    <w:rsid w:val="009C0169"/>
    <w:rsid w:val="009C403E"/>
    <w:rsid w:val="009D343E"/>
    <w:rsid w:val="009D4FF0"/>
    <w:rsid w:val="009D5C20"/>
    <w:rsid w:val="009D703C"/>
    <w:rsid w:val="009D718F"/>
    <w:rsid w:val="009D7C08"/>
    <w:rsid w:val="009E068F"/>
    <w:rsid w:val="009E14E0"/>
    <w:rsid w:val="009E35DB"/>
    <w:rsid w:val="009E47A3"/>
    <w:rsid w:val="009F08F3"/>
    <w:rsid w:val="009F221A"/>
    <w:rsid w:val="009F2FD9"/>
    <w:rsid w:val="009F344F"/>
    <w:rsid w:val="00A031D8"/>
    <w:rsid w:val="00A048A8"/>
    <w:rsid w:val="00A04F49"/>
    <w:rsid w:val="00A11C21"/>
    <w:rsid w:val="00A123D9"/>
    <w:rsid w:val="00A13E54"/>
    <w:rsid w:val="00A154AA"/>
    <w:rsid w:val="00A17F63"/>
    <w:rsid w:val="00A2193B"/>
    <w:rsid w:val="00A2351A"/>
    <w:rsid w:val="00A2625C"/>
    <w:rsid w:val="00A264A9"/>
    <w:rsid w:val="00A26DCF"/>
    <w:rsid w:val="00A27785"/>
    <w:rsid w:val="00A30187"/>
    <w:rsid w:val="00A33FFC"/>
    <w:rsid w:val="00A3448A"/>
    <w:rsid w:val="00A35DB5"/>
    <w:rsid w:val="00A36297"/>
    <w:rsid w:val="00A36CD6"/>
    <w:rsid w:val="00A40860"/>
    <w:rsid w:val="00A41E2B"/>
    <w:rsid w:val="00A45B74"/>
    <w:rsid w:val="00A52E1D"/>
    <w:rsid w:val="00A54812"/>
    <w:rsid w:val="00A56216"/>
    <w:rsid w:val="00A61499"/>
    <w:rsid w:val="00A62A77"/>
    <w:rsid w:val="00A63483"/>
    <w:rsid w:val="00A657D7"/>
    <w:rsid w:val="00A660AC"/>
    <w:rsid w:val="00A67E6C"/>
    <w:rsid w:val="00A71B99"/>
    <w:rsid w:val="00A72DC1"/>
    <w:rsid w:val="00A739D0"/>
    <w:rsid w:val="00A75EE7"/>
    <w:rsid w:val="00A761D4"/>
    <w:rsid w:val="00A76508"/>
    <w:rsid w:val="00A77EC4"/>
    <w:rsid w:val="00A92879"/>
    <w:rsid w:val="00A9442A"/>
    <w:rsid w:val="00A96548"/>
    <w:rsid w:val="00AA016F"/>
    <w:rsid w:val="00AA1ED6"/>
    <w:rsid w:val="00AA3AF5"/>
    <w:rsid w:val="00AA51D6"/>
    <w:rsid w:val="00AA52D3"/>
    <w:rsid w:val="00AB0BC8"/>
    <w:rsid w:val="00AB11CA"/>
    <w:rsid w:val="00AB14D9"/>
    <w:rsid w:val="00AB4AB8"/>
    <w:rsid w:val="00AB655E"/>
    <w:rsid w:val="00AB76E2"/>
    <w:rsid w:val="00AB7ADB"/>
    <w:rsid w:val="00AC007F"/>
    <w:rsid w:val="00AC1026"/>
    <w:rsid w:val="00AC2ECD"/>
    <w:rsid w:val="00AC3119"/>
    <w:rsid w:val="00AC49FB"/>
    <w:rsid w:val="00AC5A10"/>
    <w:rsid w:val="00AD0AA3"/>
    <w:rsid w:val="00AD2ED0"/>
    <w:rsid w:val="00AD3F94"/>
    <w:rsid w:val="00AD4A5A"/>
    <w:rsid w:val="00AE27AC"/>
    <w:rsid w:val="00AE3745"/>
    <w:rsid w:val="00AE40E0"/>
    <w:rsid w:val="00AE4DBA"/>
    <w:rsid w:val="00AE4F07"/>
    <w:rsid w:val="00AE7771"/>
    <w:rsid w:val="00AF0A01"/>
    <w:rsid w:val="00AF1C5D"/>
    <w:rsid w:val="00AF42D7"/>
    <w:rsid w:val="00AF582C"/>
    <w:rsid w:val="00B00618"/>
    <w:rsid w:val="00B006FE"/>
    <w:rsid w:val="00B007CB"/>
    <w:rsid w:val="00B01690"/>
    <w:rsid w:val="00B02AA9"/>
    <w:rsid w:val="00B02FA3"/>
    <w:rsid w:val="00B03146"/>
    <w:rsid w:val="00B05084"/>
    <w:rsid w:val="00B157F9"/>
    <w:rsid w:val="00B20256"/>
    <w:rsid w:val="00B20D09"/>
    <w:rsid w:val="00B2763F"/>
    <w:rsid w:val="00B27AAC"/>
    <w:rsid w:val="00B30929"/>
    <w:rsid w:val="00B3327A"/>
    <w:rsid w:val="00B36A00"/>
    <w:rsid w:val="00B372AA"/>
    <w:rsid w:val="00B40445"/>
    <w:rsid w:val="00B4084D"/>
    <w:rsid w:val="00B40995"/>
    <w:rsid w:val="00B409E0"/>
    <w:rsid w:val="00B41888"/>
    <w:rsid w:val="00B43BE1"/>
    <w:rsid w:val="00B45A52"/>
    <w:rsid w:val="00B4611C"/>
    <w:rsid w:val="00B46175"/>
    <w:rsid w:val="00B532D9"/>
    <w:rsid w:val="00B548B7"/>
    <w:rsid w:val="00B54BC4"/>
    <w:rsid w:val="00B664C7"/>
    <w:rsid w:val="00B732B2"/>
    <w:rsid w:val="00B739F6"/>
    <w:rsid w:val="00B740D4"/>
    <w:rsid w:val="00B81A6C"/>
    <w:rsid w:val="00B81C56"/>
    <w:rsid w:val="00B85DE5"/>
    <w:rsid w:val="00B90F73"/>
    <w:rsid w:val="00B93B59"/>
    <w:rsid w:val="00B9406A"/>
    <w:rsid w:val="00BA2280"/>
    <w:rsid w:val="00BA2A08"/>
    <w:rsid w:val="00BA56D2"/>
    <w:rsid w:val="00BA69F7"/>
    <w:rsid w:val="00BA76E0"/>
    <w:rsid w:val="00BB2A25"/>
    <w:rsid w:val="00BB51E9"/>
    <w:rsid w:val="00BB52D5"/>
    <w:rsid w:val="00BB5969"/>
    <w:rsid w:val="00BB6203"/>
    <w:rsid w:val="00BC0FDC"/>
    <w:rsid w:val="00BC3053"/>
    <w:rsid w:val="00BC4D2E"/>
    <w:rsid w:val="00BD48AC"/>
    <w:rsid w:val="00BD5F1A"/>
    <w:rsid w:val="00BE090D"/>
    <w:rsid w:val="00BE0CD4"/>
    <w:rsid w:val="00BE1234"/>
    <w:rsid w:val="00BE1466"/>
    <w:rsid w:val="00BE251E"/>
    <w:rsid w:val="00BE2FA6"/>
    <w:rsid w:val="00BE333F"/>
    <w:rsid w:val="00BE373D"/>
    <w:rsid w:val="00BE7406"/>
    <w:rsid w:val="00BE7603"/>
    <w:rsid w:val="00BF3279"/>
    <w:rsid w:val="00BF4624"/>
    <w:rsid w:val="00BF60C9"/>
    <w:rsid w:val="00BF74C7"/>
    <w:rsid w:val="00C015F1"/>
    <w:rsid w:val="00C01F33"/>
    <w:rsid w:val="00C02CC6"/>
    <w:rsid w:val="00C040F7"/>
    <w:rsid w:val="00C04157"/>
    <w:rsid w:val="00C044AB"/>
    <w:rsid w:val="00C05706"/>
    <w:rsid w:val="00C071AE"/>
    <w:rsid w:val="00C07377"/>
    <w:rsid w:val="00C07ADB"/>
    <w:rsid w:val="00C10478"/>
    <w:rsid w:val="00C12107"/>
    <w:rsid w:val="00C14888"/>
    <w:rsid w:val="00C14D4B"/>
    <w:rsid w:val="00C154BB"/>
    <w:rsid w:val="00C16602"/>
    <w:rsid w:val="00C23DE1"/>
    <w:rsid w:val="00C272FB"/>
    <w:rsid w:val="00C279B5"/>
    <w:rsid w:val="00C27C45"/>
    <w:rsid w:val="00C3322B"/>
    <w:rsid w:val="00C3719D"/>
    <w:rsid w:val="00C37CB2"/>
    <w:rsid w:val="00C4356F"/>
    <w:rsid w:val="00C473A5"/>
    <w:rsid w:val="00C504F7"/>
    <w:rsid w:val="00C54995"/>
    <w:rsid w:val="00C54D41"/>
    <w:rsid w:val="00C60783"/>
    <w:rsid w:val="00C61BD7"/>
    <w:rsid w:val="00C64672"/>
    <w:rsid w:val="00C66CF1"/>
    <w:rsid w:val="00C70697"/>
    <w:rsid w:val="00C72093"/>
    <w:rsid w:val="00C72534"/>
    <w:rsid w:val="00C72EF4"/>
    <w:rsid w:val="00C744FE"/>
    <w:rsid w:val="00C75D2F"/>
    <w:rsid w:val="00C767BE"/>
    <w:rsid w:val="00C76E3C"/>
    <w:rsid w:val="00C81568"/>
    <w:rsid w:val="00C85DC7"/>
    <w:rsid w:val="00C86E1B"/>
    <w:rsid w:val="00C9027A"/>
    <w:rsid w:val="00C9068E"/>
    <w:rsid w:val="00C93814"/>
    <w:rsid w:val="00C93C4B"/>
    <w:rsid w:val="00C944AB"/>
    <w:rsid w:val="00C95B40"/>
    <w:rsid w:val="00C965BD"/>
    <w:rsid w:val="00CA0D50"/>
    <w:rsid w:val="00CA1ED8"/>
    <w:rsid w:val="00CB1F63"/>
    <w:rsid w:val="00CB1FA2"/>
    <w:rsid w:val="00CB435D"/>
    <w:rsid w:val="00CB57AF"/>
    <w:rsid w:val="00CB6642"/>
    <w:rsid w:val="00CB7170"/>
    <w:rsid w:val="00CB7A06"/>
    <w:rsid w:val="00CC040E"/>
    <w:rsid w:val="00CC111F"/>
    <w:rsid w:val="00CC1E73"/>
    <w:rsid w:val="00CC2011"/>
    <w:rsid w:val="00CC3EA0"/>
    <w:rsid w:val="00CC7B45"/>
    <w:rsid w:val="00CD1188"/>
    <w:rsid w:val="00CD2ED1"/>
    <w:rsid w:val="00CD337B"/>
    <w:rsid w:val="00CD4D63"/>
    <w:rsid w:val="00CE0424"/>
    <w:rsid w:val="00CE356F"/>
    <w:rsid w:val="00CE4B70"/>
    <w:rsid w:val="00CE7561"/>
    <w:rsid w:val="00CF1354"/>
    <w:rsid w:val="00CF376F"/>
    <w:rsid w:val="00CF3B1F"/>
    <w:rsid w:val="00CF3BF6"/>
    <w:rsid w:val="00CF625B"/>
    <w:rsid w:val="00CF687E"/>
    <w:rsid w:val="00D0349B"/>
    <w:rsid w:val="00D10249"/>
    <w:rsid w:val="00D115C3"/>
    <w:rsid w:val="00D11897"/>
    <w:rsid w:val="00D12FB8"/>
    <w:rsid w:val="00D13135"/>
    <w:rsid w:val="00D13571"/>
    <w:rsid w:val="00D13E4E"/>
    <w:rsid w:val="00D239A7"/>
    <w:rsid w:val="00D23B4F"/>
    <w:rsid w:val="00D23F47"/>
    <w:rsid w:val="00D26D9C"/>
    <w:rsid w:val="00D300E7"/>
    <w:rsid w:val="00D329D2"/>
    <w:rsid w:val="00D36E71"/>
    <w:rsid w:val="00D37D87"/>
    <w:rsid w:val="00D4065A"/>
    <w:rsid w:val="00D40B33"/>
    <w:rsid w:val="00D4318F"/>
    <w:rsid w:val="00D438BF"/>
    <w:rsid w:val="00D440F8"/>
    <w:rsid w:val="00D546FF"/>
    <w:rsid w:val="00D55AD5"/>
    <w:rsid w:val="00D576CA"/>
    <w:rsid w:val="00D60B3A"/>
    <w:rsid w:val="00D61AF5"/>
    <w:rsid w:val="00D652B5"/>
    <w:rsid w:val="00D65C62"/>
    <w:rsid w:val="00D66155"/>
    <w:rsid w:val="00D66C65"/>
    <w:rsid w:val="00D708B0"/>
    <w:rsid w:val="00D73CBE"/>
    <w:rsid w:val="00D77B1D"/>
    <w:rsid w:val="00D8021F"/>
    <w:rsid w:val="00D80383"/>
    <w:rsid w:val="00D823C6"/>
    <w:rsid w:val="00D8327F"/>
    <w:rsid w:val="00D86CA3"/>
    <w:rsid w:val="00D871CE"/>
    <w:rsid w:val="00D9196D"/>
    <w:rsid w:val="00D92982"/>
    <w:rsid w:val="00DA11F3"/>
    <w:rsid w:val="00DA27B6"/>
    <w:rsid w:val="00DA305E"/>
    <w:rsid w:val="00DA5417"/>
    <w:rsid w:val="00DA56E8"/>
    <w:rsid w:val="00DA7831"/>
    <w:rsid w:val="00DB0A9F"/>
    <w:rsid w:val="00DB377D"/>
    <w:rsid w:val="00DC2D36"/>
    <w:rsid w:val="00DC53EF"/>
    <w:rsid w:val="00DD052D"/>
    <w:rsid w:val="00DD3DB3"/>
    <w:rsid w:val="00DD59C5"/>
    <w:rsid w:val="00DE5608"/>
    <w:rsid w:val="00DE58D0"/>
    <w:rsid w:val="00DE654F"/>
    <w:rsid w:val="00DE6BCD"/>
    <w:rsid w:val="00DF08D5"/>
    <w:rsid w:val="00DF0B6E"/>
    <w:rsid w:val="00DF15E0"/>
    <w:rsid w:val="00DF37A0"/>
    <w:rsid w:val="00DF422B"/>
    <w:rsid w:val="00DF5CE5"/>
    <w:rsid w:val="00E0035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E3B"/>
    <w:rsid w:val="00E47AEF"/>
    <w:rsid w:val="00E539B8"/>
    <w:rsid w:val="00E53B75"/>
    <w:rsid w:val="00E54E3B"/>
    <w:rsid w:val="00E56EFC"/>
    <w:rsid w:val="00E57565"/>
    <w:rsid w:val="00E63838"/>
    <w:rsid w:val="00E64434"/>
    <w:rsid w:val="00E67C51"/>
    <w:rsid w:val="00E7029B"/>
    <w:rsid w:val="00E72EFC"/>
    <w:rsid w:val="00E758EC"/>
    <w:rsid w:val="00E8234C"/>
    <w:rsid w:val="00E83979"/>
    <w:rsid w:val="00E83AA9"/>
    <w:rsid w:val="00E85928"/>
    <w:rsid w:val="00E866C3"/>
    <w:rsid w:val="00E87822"/>
    <w:rsid w:val="00E90395"/>
    <w:rsid w:val="00E90E49"/>
    <w:rsid w:val="00E917F9"/>
    <w:rsid w:val="00E9291C"/>
    <w:rsid w:val="00E93FFE"/>
    <w:rsid w:val="00E94F8A"/>
    <w:rsid w:val="00E95D43"/>
    <w:rsid w:val="00EA0D23"/>
    <w:rsid w:val="00EA50F8"/>
    <w:rsid w:val="00EA6AC7"/>
    <w:rsid w:val="00EA7A41"/>
    <w:rsid w:val="00EB077B"/>
    <w:rsid w:val="00EB36D7"/>
    <w:rsid w:val="00EB3B5E"/>
    <w:rsid w:val="00EB4EA2"/>
    <w:rsid w:val="00EC24D5"/>
    <w:rsid w:val="00EC27C6"/>
    <w:rsid w:val="00EC388D"/>
    <w:rsid w:val="00EC4207"/>
    <w:rsid w:val="00EC547E"/>
    <w:rsid w:val="00EC5653"/>
    <w:rsid w:val="00EC71CE"/>
    <w:rsid w:val="00ED1006"/>
    <w:rsid w:val="00ED2B29"/>
    <w:rsid w:val="00ED6574"/>
    <w:rsid w:val="00EE0734"/>
    <w:rsid w:val="00EF18FE"/>
    <w:rsid w:val="00EF5787"/>
    <w:rsid w:val="00EF60D0"/>
    <w:rsid w:val="00F0528D"/>
    <w:rsid w:val="00F06766"/>
    <w:rsid w:val="00F06C67"/>
    <w:rsid w:val="00F06DFD"/>
    <w:rsid w:val="00F071D1"/>
    <w:rsid w:val="00F07533"/>
    <w:rsid w:val="00F10629"/>
    <w:rsid w:val="00F15F7B"/>
    <w:rsid w:val="00F15FA5"/>
    <w:rsid w:val="00F209B7"/>
    <w:rsid w:val="00F2376F"/>
    <w:rsid w:val="00F24081"/>
    <w:rsid w:val="00F243D8"/>
    <w:rsid w:val="00F27317"/>
    <w:rsid w:val="00F30828"/>
    <w:rsid w:val="00F313D6"/>
    <w:rsid w:val="00F40F0C"/>
    <w:rsid w:val="00F43AD4"/>
    <w:rsid w:val="00F4766C"/>
    <w:rsid w:val="00F5060E"/>
    <w:rsid w:val="00F507D1"/>
    <w:rsid w:val="00F50A2A"/>
    <w:rsid w:val="00F519CE"/>
    <w:rsid w:val="00F51ADA"/>
    <w:rsid w:val="00F52BD0"/>
    <w:rsid w:val="00F57631"/>
    <w:rsid w:val="00F60203"/>
    <w:rsid w:val="00F607C5"/>
    <w:rsid w:val="00F60DEA"/>
    <w:rsid w:val="00F6302A"/>
    <w:rsid w:val="00F6329C"/>
    <w:rsid w:val="00F63950"/>
    <w:rsid w:val="00F64C2B"/>
    <w:rsid w:val="00F651BE"/>
    <w:rsid w:val="00F67AF0"/>
    <w:rsid w:val="00F67F53"/>
    <w:rsid w:val="00F703BE"/>
    <w:rsid w:val="00F71F69"/>
    <w:rsid w:val="00F72B72"/>
    <w:rsid w:val="00F74BB9"/>
    <w:rsid w:val="00F75582"/>
    <w:rsid w:val="00F76EFA"/>
    <w:rsid w:val="00F804BE"/>
    <w:rsid w:val="00F817CE"/>
    <w:rsid w:val="00F82F07"/>
    <w:rsid w:val="00F8456C"/>
    <w:rsid w:val="00F859D8"/>
    <w:rsid w:val="00F868F5"/>
    <w:rsid w:val="00F9056A"/>
    <w:rsid w:val="00F90F8D"/>
    <w:rsid w:val="00F92167"/>
    <w:rsid w:val="00F92782"/>
    <w:rsid w:val="00F93AA9"/>
    <w:rsid w:val="00F9490E"/>
    <w:rsid w:val="00F955E7"/>
    <w:rsid w:val="00F96513"/>
    <w:rsid w:val="00F96985"/>
    <w:rsid w:val="00F97838"/>
    <w:rsid w:val="00FA1E62"/>
    <w:rsid w:val="00FA2BB3"/>
    <w:rsid w:val="00FB0CD1"/>
    <w:rsid w:val="00FB3C20"/>
    <w:rsid w:val="00FB4C80"/>
    <w:rsid w:val="00FB6A6A"/>
    <w:rsid w:val="00FC325C"/>
    <w:rsid w:val="00FC3C90"/>
    <w:rsid w:val="00FC7429"/>
    <w:rsid w:val="00FD07F6"/>
    <w:rsid w:val="00FD1EC8"/>
    <w:rsid w:val="00FD47ED"/>
    <w:rsid w:val="00FD563B"/>
    <w:rsid w:val="00FD5EC9"/>
    <w:rsid w:val="00FD74DB"/>
    <w:rsid w:val="00FD7660"/>
    <w:rsid w:val="00FE0655"/>
    <w:rsid w:val="00FE2365"/>
    <w:rsid w:val="00FE2858"/>
    <w:rsid w:val="00FE37D7"/>
    <w:rsid w:val="00FE4C7B"/>
    <w:rsid w:val="00FE7336"/>
    <w:rsid w:val="00FE787C"/>
    <w:rsid w:val="00FF227B"/>
    <w:rsid w:val="00FF272D"/>
    <w:rsid w:val="00FF44D6"/>
    <w:rsid w:val="00FF45A5"/>
    <w:rsid w:val="00FF5C91"/>
    <w:rsid w:val="00FF690A"/>
    <w:rsid w:val="1CF7DD03"/>
    <w:rsid w:val="5A0FB9DF"/>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DA5956B"/>
  <w15:chartTrackingRefBased/>
  <w15:docId w15:val="{B8DA4775-6E68-4DF9-96B5-532D12AB7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A0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qFormat/>
    <w:rsid w:val="00FD563B"/>
    <w:pPr>
      <w:ind w:left="1418" w:hanging="1418"/>
      <w:outlineLvl w:val="3"/>
    </w:pPr>
    <w:rPr>
      <w:sz w:val="24"/>
    </w:rPr>
  </w:style>
  <w:style w:type="paragraph" w:styleId="Heading5">
    <w:name w:val="heading 5"/>
    <w:basedOn w:val="Heading4"/>
    <w:next w:val="Normal"/>
    <w:link w:val="Heading5Char"/>
    <w:qFormat/>
    <w:rsid w:val="00FD563B"/>
    <w:pPr>
      <w:ind w:left="1701" w:hanging="1701"/>
      <w:outlineLvl w:val="4"/>
    </w:pPr>
    <w:rPr>
      <w:sz w:val="22"/>
    </w:rPr>
  </w:style>
  <w:style w:type="paragraph" w:styleId="Heading6">
    <w:name w:val="heading 6"/>
    <w:basedOn w:val="H6"/>
    <w:next w:val="Normal"/>
    <w:link w:val="Heading6Char"/>
    <w:qFormat/>
    <w:rsid w:val="00FD563B"/>
    <w:pPr>
      <w:outlineLvl w:val="5"/>
    </w:pPr>
  </w:style>
  <w:style w:type="paragraph" w:styleId="Heading7">
    <w:name w:val="heading 7"/>
    <w:basedOn w:val="H6"/>
    <w:next w:val="Normal"/>
    <w:link w:val="Heading7Char"/>
    <w:qFormat/>
    <w:rsid w:val="00FD563B"/>
    <w:pPr>
      <w:outlineLvl w:val="6"/>
    </w:pPr>
  </w:style>
  <w:style w:type="paragraph" w:styleId="Heading8">
    <w:name w:val="heading 8"/>
    <w:basedOn w:val="Heading1"/>
    <w:next w:val="Normal"/>
    <w:link w:val="Heading8Char"/>
    <w:qFormat/>
    <w:rsid w:val="00FD563B"/>
    <w:pPr>
      <w:ind w:left="0" w:firstLine="0"/>
      <w:outlineLvl w:val="7"/>
    </w:pPr>
  </w:style>
  <w:style w:type="paragraph" w:styleId="Heading9">
    <w:name w:val="heading 9"/>
    <w:basedOn w:val="Heading8"/>
    <w:next w:val="Normal"/>
    <w:link w:val="Heading9Char"/>
    <w:qFormat/>
    <w:rsid w:val="00FD563B"/>
    <w:pPr>
      <w:outlineLvl w:val="8"/>
    </w:pPr>
  </w:style>
  <w:style w:type="character" w:default="1" w:styleId="DefaultParagraphFont">
    <w:name w:val="Default Paragraph Font"/>
    <w:uiPriority w:val="1"/>
    <w:semiHidden/>
    <w:unhideWhenUsed/>
    <w:rsid w:val="00CB7A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7A06"/>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uiPriority w:val="35"/>
    <w:qFormat/>
    <w:rsid w:val="00FD563B"/>
    <w:pPr>
      <w:spacing w:before="120" w:after="120"/>
    </w:pPr>
    <w:rPr>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spacing w:after="0"/>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22"/>
      </w:numPr>
    </w:pPr>
  </w:style>
  <w:style w:type="paragraph" w:styleId="ListNumber">
    <w:name w:val="List Number"/>
    <w:basedOn w:val="List"/>
    <w:rsid w:val="00FD563B"/>
    <w:pPr>
      <w:numPr>
        <w:numId w:val="21"/>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spacing w:after="0"/>
      <w:ind w:left="454" w:hanging="454"/>
    </w:pPr>
    <w:rPr>
      <w:sz w:val="16"/>
    </w:rPr>
  </w:style>
  <w:style w:type="paragraph" w:customStyle="1" w:styleId="3GPPHeader">
    <w:name w:val="3GPP_Header"/>
    <w:basedOn w:val="BodyText"/>
    <w:rsid w:val="00FD563B"/>
    <w:pPr>
      <w:tabs>
        <w:tab w:val="left" w:pos="1701"/>
        <w:tab w:val="right" w:pos="9639"/>
      </w:tabs>
      <w:spacing w:after="240"/>
    </w:pPr>
    <w:rPr>
      <w:b/>
      <w:sz w:val="24"/>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17"/>
      </w:numPr>
    </w:pPr>
  </w:style>
  <w:style w:type="paragraph" w:styleId="ListBullet">
    <w:name w:val="List Bullet"/>
    <w:basedOn w:val="List"/>
    <w:rsid w:val="00FD563B"/>
    <w:pPr>
      <w:numPr>
        <w:numId w:val="16"/>
      </w:numPr>
    </w:pPr>
    <w:rPr>
      <w:lang w:eastAsia="ja-JP"/>
    </w:rPr>
  </w:style>
  <w:style w:type="paragraph" w:styleId="ListBullet3">
    <w:name w:val="List Bullet 3"/>
    <w:basedOn w:val="ListBullet2"/>
    <w:rsid w:val="00FD563B"/>
    <w:pPr>
      <w:numPr>
        <w:numId w:val="18"/>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19"/>
      </w:numPr>
    </w:pPr>
  </w:style>
  <w:style w:type="paragraph" w:styleId="ListBullet5">
    <w:name w:val="List Bullet 5"/>
    <w:basedOn w:val="ListBullet4"/>
    <w:rsid w:val="00FD563B"/>
    <w:pPr>
      <w:numPr>
        <w:numId w:val="20"/>
      </w:numPr>
    </w:pPr>
  </w:style>
  <w:style w:type="paragraph" w:styleId="Footer">
    <w:name w:val="footer"/>
    <w:basedOn w:val="Header"/>
    <w:link w:val="FooterChar"/>
    <w:rsid w:val="00FD563B"/>
    <w:pPr>
      <w:jc w:val="center"/>
    </w:pPr>
    <w:rPr>
      <w:i/>
    </w:rPr>
  </w:style>
  <w:style w:type="paragraph" w:customStyle="1" w:styleId="Reference">
    <w:name w:val="Reference"/>
    <w:basedOn w:val="BodyText"/>
    <w:rsid w:val="00FD563B"/>
    <w:pPr>
      <w:numPr>
        <w:numId w:val="2"/>
      </w:numPr>
    </w:pPr>
  </w:style>
  <w:style w:type="paragraph" w:styleId="BalloonText">
    <w:name w:val="Balloon Text"/>
    <w:basedOn w:val="Normal"/>
    <w:link w:val="BalloonTextChar"/>
    <w:rsid w:val="00FD563B"/>
    <w:pPr>
      <w:spacing w:after="0"/>
    </w:pPr>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FD563B"/>
    <w:pPr>
      <w:spacing w:after="120"/>
      <w:jc w:val="both"/>
    </w:pPr>
    <w:rPr>
      <w:rFonts w:ascii="Arial" w:hAnsi="Arial"/>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uiPriority w:val="99"/>
    <w:qFormat/>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B1">
    <w:name w:val="B1"/>
    <w:basedOn w:val="List"/>
    <w:link w:val="B1Char1"/>
    <w:rsid w:val="00FD563B"/>
    <w:rPr>
      <w:rFonts w:ascii="Times New Roman" w:hAnsi="Times New Roman"/>
    </w:rPr>
  </w:style>
  <w:style w:type="paragraph" w:customStyle="1" w:styleId="B2">
    <w:name w:val="B2"/>
    <w:basedOn w:val="List2"/>
    <w:link w:val="B2Char"/>
    <w:rsid w:val="00FD563B"/>
    <w:rPr>
      <w:rFonts w:ascii="Times New Roman" w:hAnsi="Times New Roman"/>
    </w:rPr>
  </w:style>
  <w:style w:type="paragraph" w:customStyle="1" w:styleId="B3">
    <w:name w:val="B3"/>
    <w:basedOn w:val="List3"/>
    <w:link w:val="B3Char2"/>
    <w:rsid w:val="00FD563B"/>
    <w:rPr>
      <w:rFonts w:ascii="Times New Roman" w:hAnsi="Times New Roman"/>
    </w:rPr>
  </w:style>
  <w:style w:type="paragraph" w:customStyle="1" w:styleId="B4">
    <w:name w:val="B4"/>
    <w:basedOn w:val="List4"/>
    <w:link w:val="B4Char"/>
    <w:rsid w:val="00FD563B"/>
    <w:rPr>
      <w:rFonts w:ascii="Times New Roman" w:hAnsi="Times New Roman"/>
    </w:rPr>
  </w:style>
  <w:style w:type="paragraph" w:customStyle="1" w:styleId="Proposal">
    <w:name w:val="Proposal"/>
    <w:basedOn w:val="BodyText"/>
    <w:link w:val="ProposalChar"/>
    <w:qFormat/>
    <w:rsid w:val="00FD563B"/>
    <w:pPr>
      <w:numPr>
        <w:numId w:val="3"/>
      </w:numPr>
      <w:tabs>
        <w:tab w:val="clear" w:pos="1304"/>
        <w:tab w:val="left" w:pos="1701"/>
      </w:tabs>
      <w:ind w:left="1701" w:hanging="1701"/>
    </w:pPr>
    <w:rPr>
      <w:b/>
      <w:bCs/>
    </w:rPr>
  </w:style>
  <w:style w:type="character" w:customStyle="1" w:styleId="BodyTextChar">
    <w:name w:val="Body Text Char"/>
    <w:link w:val="BodyText"/>
    <w:rsid w:val="00FD563B"/>
    <w:rPr>
      <w:rFonts w:ascii="Arial" w:hAnsi="Arial"/>
      <w:lang w:eastAsia="zh-CN"/>
    </w:rPr>
  </w:style>
  <w:style w:type="paragraph" w:customStyle="1" w:styleId="B5">
    <w:name w:val="B5"/>
    <w:basedOn w:val="List5"/>
    <w:link w:val="B5Char"/>
    <w:rsid w:val="00FD563B"/>
    <w:rPr>
      <w:rFonts w:ascii="Times New Roman" w:hAnsi="Times New Roman"/>
    </w:rPr>
  </w:style>
  <w:style w:type="paragraph" w:customStyle="1" w:styleId="EX">
    <w:name w:val="EX"/>
    <w:basedOn w:val="Normal"/>
    <w:rsid w:val="00FD563B"/>
    <w:pPr>
      <w:keepLines/>
      <w:ind w:left="1702" w:hanging="1418"/>
    </w:pPr>
  </w:style>
  <w:style w:type="paragraph" w:customStyle="1" w:styleId="EW">
    <w:name w:val="EW"/>
    <w:basedOn w:val="EX"/>
    <w:rsid w:val="00FD563B"/>
    <w:pPr>
      <w:spacing w:after="0"/>
    </w:pPr>
  </w:style>
  <w:style w:type="paragraph" w:customStyle="1" w:styleId="TAL">
    <w:name w:val="TAL"/>
    <w:basedOn w:val="Normal"/>
    <w:link w:val="TALCar"/>
    <w:rsid w:val="00FD563B"/>
    <w:pPr>
      <w:keepNext/>
      <w:keepLines/>
      <w:spacing w:after="0"/>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pPr>
      <w:spacing w:after="0"/>
    </w:pPr>
  </w:style>
  <w:style w:type="paragraph" w:customStyle="1" w:styleId="Observation">
    <w:name w:val="Observation"/>
    <w:basedOn w:val="Proposal"/>
    <w:qFormat/>
    <w:rsid w:val="00FD563B"/>
    <w:pPr>
      <w:numPr>
        <w:numId w:val="13"/>
      </w:numPr>
      <w:ind w:left="1701" w:hanging="1701"/>
    </w:pPr>
    <w:rPr>
      <w:lang w:eastAsia="ja-JP"/>
    </w:rPr>
  </w:style>
  <w:style w:type="paragraph" w:styleId="TableofFigures">
    <w:name w:val="table of figures"/>
    <w:basedOn w:val="BodyText"/>
    <w:next w:val="Normal"/>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14"/>
      </w:numPr>
      <w:spacing w:before="40" w:after="0"/>
    </w:pPr>
    <w:rPr>
      <w:rFonts w:ascii="Arial" w:eastAsia="MS Mincho" w:hAnsi="Arial"/>
      <w:b/>
      <w:szCs w:val="24"/>
      <w:lang w:eastAsia="en-GB"/>
    </w:rPr>
  </w:style>
  <w:style w:type="character" w:styleId="Emphasis">
    <w:name w:val="Emphasis"/>
    <w:qFormat/>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erChar">
    <w:name w:val="Footer Char"/>
    <w:link w:val="Footer"/>
    <w:rsid w:val="00FD563B"/>
    <w:rPr>
      <w:rFonts w:ascii="Arial" w:hAnsi="Arial"/>
      <w:b/>
      <w:i/>
      <w:noProof/>
      <w:sz w:val="18"/>
      <w:lang w:eastAsia="ja-JP"/>
    </w:rPr>
  </w:style>
  <w:style w:type="character" w:customStyle="1" w:styleId="FootnoteTextChar">
    <w:name w:val="Footnote Text Char"/>
    <w:link w:val="FootnoteText"/>
    <w:rsid w:val="00FD563B"/>
    <w:rPr>
      <w:rFonts w:ascii="Times New Roman" w:hAnsi="Times New Roman"/>
      <w:sz w:val="16"/>
      <w:lang w:eastAsia="ja-JP"/>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D563B"/>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locked/>
    <w:rsid w:val="00FD563B"/>
    <w:rPr>
      <w:rFonts w:ascii="Calibri" w:eastAsia="Calibri" w:hAnsi="Calibri"/>
      <w:sz w:val="22"/>
      <w:szCs w:val="22"/>
      <w:lang w:val="x-none" w:eastAsia="en-US"/>
    </w:rPr>
  </w:style>
  <w:style w:type="paragraph" w:customStyle="1" w:styleId="NF">
    <w:name w:val="NF"/>
    <w:basedOn w:val="NO"/>
    <w:rsid w:val="00FD563B"/>
    <w:pPr>
      <w:keepNext/>
      <w:spacing w:after="0"/>
    </w:pPr>
    <w:rPr>
      <w:rFonts w:ascii="Arial" w:hAnsi="Arial"/>
      <w:sz w:val="18"/>
    </w:rPr>
  </w:style>
  <w:style w:type="paragraph" w:customStyle="1" w:styleId="NW">
    <w:name w:val="NW"/>
    <w:basedOn w:val="NO"/>
    <w:rsid w:val="00FD563B"/>
    <w:pPr>
      <w:spacing w:after="0"/>
    </w:pPr>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hAnsi="Arial"/>
      <w:sz w:val="18"/>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10"/>
      </w:numPr>
      <w:contextualSpacing/>
    </w:pPr>
  </w:style>
  <w:style w:type="character" w:customStyle="1" w:styleId="ProposalChar">
    <w:name w:val="Proposal Char"/>
    <w:basedOn w:val="DefaultParagraphFont"/>
    <w:link w:val="Proposal"/>
    <w:qFormat/>
    <w:rsid w:val="00943F8E"/>
    <w:rPr>
      <w:rFonts w:ascii="Arial" w:eastAsiaTheme="minorHAnsi" w:hAnsi="Arial" w:cstheme="minorBidi"/>
      <w:b/>
      <w:bCs/>
      <w:sz w:val="22"/>
      <w:szCs w:val="22"/>
      <w:lang w:val="sv-SE" w:eastAsia="zh-CN"/>
    </w:rPr>
  </w:style>
  <w:style w:type="paragraph" w:styleId="NormalWeb">
    <w:name w:val="Normal (Web)"/>
    <w:basedOn w:val="Normal"/>
    <w:uiPriority w:val="99"/>
    <w:unhideWhenUsed/>
    <w:rsid w:val="00F067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02415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D81EF-984A-4F1B-ACF0-B94F6C717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BB42B3F-2015-4816-972C-8E2680C0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7945</TotalTime>
  <Pages>16</Pages>
  <Words>5901</Words>
  <Characters>31276</Characters>
  <Application>Microsoft Office Word</Application>
  <DocSecurity>0</DocSecurity>
  <Lines>260</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123</cp:revision>
  <cp:lastPrinted>2008-01-31T16:09:00Z</cp:lastPrinted>
  <dcterms:created xsi:type="dcterms:W3CDTF">2020-01-29T18:02:00Z</dcterms:created>
  <dcterms:modified xsi:type="dcterms:W3CDTF">2020-08-07T14:10:00Z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